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75342">
      <w:pPr>
        <w:ind w:firstLine="0"/>
        <w:rPr>
          <w:rFonts w:ascii="宋体" w:hAnsi="宋体"/>
          <w:color w:val="auto"/>
          <w:highlight w:val="none"/>
        </w:rPr>
      </w:pPr>
    </w:p>
    <w:p w14:paraId="09A8BA9F">
      <w:pPr>
        <w:pStyle w:val="13"/>
        <w:tabs>
          <w:tab w:val="left" w:pos="7371"/>
        </w:tabs>
        <w:rPr>
          <w:rFonts w:hAnsi="宋体"/>
          <w:color w:val="auto"/>
          <w:highlight w:val="none"/>
        </w:rPr>
      </w:pPr>
    </w:p>
    <w:p w14:paraId="67A36ED9">
      <w:pPr>
        <w:pStyle w:val="13"/>
        <w:rPr>
          <w:rFonts w:hAnsi="宋体"/>
          <w:color w:val="auto"/>
          <w:highlight w:val="none"/>
        </w:rPr>
      </w:pPr>
    </w:p>
    <w:p w14:paraId="3F9D9DEA">
      <w:pPr>
        <w:pStyle w:val="13"/>
        <w:rPr>
          <w:rFonts w:hAnsi="宋体"/>
          <w:color w:val="auto"/>
          <w:highlight w:val="none"/>
        </w:rPr>
      </w:pPr>
    </w:p>
    <w:p w14:paraId="0841ADFA">
      <w:pPr>
        <w:pStyle w:val="13"/>
        <w:ind w:right="850" w:rightChars="405"/>
        <w:rPr>
          <w:rFonts w:hAnsi="宋体"/>
          <w:color w:val="auto"/>
          <w:highlight w:val="none"/>
        </w:rPr>
      </w:pPr>
    </w:p>
    <w:p w14:paraId="7A52DFB7">
      <w:pPr>
        <w:pStyle w:val="13"/>
        <w:rPr>
          <w:rFonts w:hAnsi="宋体"/>
          <w:color w:val="auto"/>
          <w:highlight w:val="none"/>
        </w:rPr>
      </w:pPr>
    </w:p>
    <w:p w14:paraId="5D36C2D8">
      <w:pPr>
        <w:pStyle w:val="13"/>
        <w:rPr>
          <w:rFonts w:hAnsi="宋体"/>
          <w:color w:val="auto"/>
          <w:highlight w:val="none"/>
        </w:rPr>
      </w:pPr>
    </w:p>
    <w:p w14:paraId="16D42085">
      <w:pPr>
        <w:pStyle w:val="13"/>
        <w:ind w:right="1275" w:rightChars="607"/>
        <w:rPr>
          <w:rFonts w:hAnsi="宋体"/>
          <w:color w:val="auto"/>
          <w:highlight w:val="none"/>
        </w:rPr>
      </w:pPr>
    </w:p>
    <w:p w14:paraId="62D8A679">
      <w:pPr>
        <w:pStyle w:val="13"/>
        <w:rPr>
          <w:rFonts w:hAnsi="宋体"/>
          <w:color w:val="auto"/>
          <w:highlight w:val="none"/>
        </w:rPr>
      </w:pPr>
    </w:p>
    <w:p w14:paraId="2321C74B">
      <w:pPr>
        <w:pStyle w:val="13"/>
        <w:rPr>
          <w:rFonts w:hAnsi="宋体"/>
          <w:color w:val="auto"/>
          <w:highlight w:val="none"/>
        </w:rPr>
      </w:pPr>
    </w:p>
    <w:p w14:paraId="00394224">
      <w:pPr>
        <w:jc w:val="center"/>
        <w:rPr>
          <w:rFonts w:ascii="宋体" w:hAnsi="宋体"/>
          <w:b/>
          <w:bCs/>
          <w:color w:val="auto"/>
          <w:sz w:val="84"/>
          <w:szCs w:val="84"/>
          <w:highlight w:val="none"/>
        </w:rPr>
      </w:pPr>
      <w:r>
        <w:rPr>
          <w:rFonts w:hint="eastAsia" w:ascii="宋体" w:hAnsi="宋体"/>
          <w:b/>
          <w:bCs/>
          <w:color w:val="auto"/>
          <w:sz w:val="84"/>
          <w:szCs w:val="84"/>
          <w:highlight w:val="none"/>
        </w:rPr>
        <w:t>竞价文件</w:t>
      </w:r>
    </w:p>
    <w:p w14:paraId="24659052">
      <w:pPr>
        <w:spacing w:line="360" w:lineRule="auto"/>
        <w:rPr>
          <w:rFonts w:ascii="宋体" w:hAnsi="宋体"/>
          <w:color w:val="auto"/>
          <w:sz w:val="30"/>
          <w:szCs w:val="30"/>
          <w:highlight w:val="none"/>
        </w:rPr>
      </w:pPr>
    </w:p>
    <w:p w14:paraId="5559C32D">
      <w:pPr>
        <w:spacing w:line="360" w:lineRule="auto"/>
        <w:rPr>
          <w:rFonts w:ascii="宋体" w:hAnsi="宋体"/>
          <w:color w:val="auto"/>
          <w:sz w:val="30"/>
          <w:szCs w:val="30"/>
          <w:highlight w:val="none"/>
        </w:rPr>
      </w:pPr>
    </w:p>
    <w:p w14:paraId="12D50BBC">
      <w:pPr>
        <w:spacing w:line="360" w:lineRule="auto"/>
        <w:rPr>
          <w:rFonts w:ascii="宋体" w:hAnsi="宋体"/>
          <w:color w:val="auto"/>
          <w:sz w:val="30"/>
          <w:szCs w:val="30"/>
          <w:highlight w:val="none"/>
        </w:rPr>
      </w:pPr>
    </w:p>
    <w:p w14:paraId="1A899053">
      <w:pPr>
        <w:spacing w:line="360" w:lineRule="auto"/>
        <w:jc w:val="left"/>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eastAsia="zh-CN"/>
        </w:rPr>
        <w:t>线上竞价</w:t>
      </w:r>
    </w:p>
    <w:p w14:paraId="3EAD1096">
      <w:pPr>
        <w:autoSpaceDE w:val="0"/>
        <w:autoSpaceDN w:val="0"/>
        <w:adjustRightInd w:val="0"/>
        <w:snapToGrid w:val="0"/>
        <w:spacing w:line="360" w:lineRule="auto"/>
        <w:ind w:left="1964" w:leftChars="266" w:right="1275" w:rightChars="607" w:hanging="1405" w:hangingChars="500"/>
        <w:jc w:val="left"/>
        <w:rPr>
          <w:rFonts w:hint="eastAsia" w:ascii="宋体" w:hAnsi="宋体" w:eastAsia="宋体"/>
          <w:b/>
          <w:bCs/>
          <w:color w:val="auto"/>
          <w:sz w:val="28"/>
          <w:szCs w:val="28"/>
          <w:highlight w:val="none"/>
          <w:u w:val="singl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single"/>
          <w:lang w:eastAsia="zh-CN"/>
        </w:rPr>
        <w:t>广东省未成年犯管教所南、北门防冲撞液压式自动升降柱采购项目</w:t>
      </w:r>
    </w:p>
    <w:p w14:paraId="014233B1">
      <w:pPr>
        <w:autoSpaceDE w:val="0"/>
        <w:autoSpaceDN w:val="0"/>
        <w:adjustRightInd w:val="0"/>
        <w:snapToGrid w:val="0"/>
        <w:spacing w:line="360" w:lineRule="auto"/>
        <w:rPr>
          <w:rFonts w:ascii="宋体" w:hAnsi="宋体"/>
          <w:b/>
          <w:bCs/>
          <w:color w:val="auto"/>
          <w:sz w:val="28"/>
          <w:szCs w:val="28"/>
          <w:highlight w:val="none"/>
          <w:u w:val="single"/>
        </w:rPr>
      </w:pPr>
      <w:r>
        <w:rPr>
          <w:rFonts w:hint="eastAsia" w:ascii="宋体" w:hAnsi="宋体"/>
          <w:b/>
          <w:bCs/>
          <w:color w:val="auto"/>
          <w:sz w:val="28"/>
          <w:szCs w:val="32"/>
          <w:highlight w:val="none"/>
        </w:rPr>
        <w:t>项目编号：M4400000707525568007</w:t>
      </w:r>
    </w:p>
    <w:p w14:paraId="4359A084">
      <w:pPr>
        <w:snapToGrid w:val="0"/>
        <w:spacing w:before="156" w:beforeLines="50" w:after="156" w:afterLines="50" w:line="360" w:lineRule="auto"/>
        <w:jc w:val="center"/>
        <w:rPr>
          <w:rFonts w:ascii="宋体" w:hAnsi="宋体" w:cs="华文中宋"/>
          <w:color w:val="auto"/>
          <w:sz w:val="30"/>
          <w:szCs w:val="30"/>
          <w:highlight w:val="none"/>
        </w:rPr>
      </w:pPr>
    </w:p>
    <w:p w14:paraId="6A729FAF">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11BB8CB">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6E1DD9FE">
      <w:pPr>
        <w:autoSpaceDE w:val="0"/>
        <w:autoSpaceDN w:val="0"/>
        <w:adjustRightInd w:val="0"/>
        <w:snapToGrid w:val="0"/>
        <w:spacing w:line="360" w:lineRule="auto"/>
        <w:ind w:left="420" w:firstLine="420"/>
        <w:jc w:val="center"/>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eastAsia="zh-CN"/>
        </w:rPr>
        <w:t>广东省未成年犯管教所</w:t>
      </w:r>
    </w:p>
    <w:p w14:paraId="1D9EBEBE">
      <w:pPr>
        <w:autoSpaceDE w:val="0"/>
        <w:autoSpaceDN w:val="0"/>
        <w:adjustRightInd w:val="0"/>
        <w:snapToGrid w:val="0"/>
        <w:spacing w:line="360" w:lineRule="auto"/>
        <w:ind w:left="420" w:firstLine="420"/>
        <w:jc w:val="center"/>
        <w:rPr>
          <w:rFonts w:hint="default" w:ascii="宋体" w:hAnsi="宋体" w:eastAsia="宋体"/>
          <w:b/>
          <w:bCs/>
          <w:color w:val="auto"/>
          <w:sz w:val="28"/>
          <w:szCs w:val="32"/>
          <w:highlight w:val="none"/>
          <w:lang w:val="en-US" w:eastAsia="zh-CN"/>
        </w:rPr>
      </w:pPr>
      <w:r>
        <w:rPr>
          <w:rFonts w:hint="eastAsia" w:ascii="宋体" w:hAnsi="宋体"/>
          <w:b/>
          <w:bCs/>
          <w:color w:val="auto"/>
          <w:sz w:val="28"/>
          <w:szCs w:val="32"/>
          <w:highlight w:val="none"/>
          <w:lang w:val="en-US" w:eastAsia="zh-CN"/>
        </w:rPr>
        <w:t>广东省机电设备招标有限公司</w:t>
      </w:r>
    </w:p>
    <w:p w14:paraId="21C507A3">
      <w:pPr>
        <w:autoSpaceDE w:val="0"/>
        <w:autoSpaceDN w:val="0"/>
        <w:adjustRightInd w:val="0"/>
        <w:snapToGrid w:val="0"/>
        <w:spacing w:line="360" w:lineRule="auto"/>
        <w:ind w:left="420" w:firstLine="420"/>
        <w:jc w:val="center"/>
        <w:rPr>
          <w:rFonts w:ascii="宋体" w:hAnsi="宋体"/>
          <w:color w:val="auto"/>
          <w:sz w:val="28"/>
          <w:szCs w:val="21"/>
          <w:highlight w:val="none"/>
        </w:rPr>
      </w:pPr>
      <w:r>
        <w:rPr>
          <w:rFonts w:ascii="宋体" w:hAnsi="宋体"/>
          <w:b/>
          <w:color w:val="auto"/>
          <w:sz w:val="28"/>
          <w:szCs w:val="21"/>
          <w:highlight w:val="none"/>
        </w:rPr>
        <w:t>二零二</w:t>
      </w:r>
      <w:r>
        <w:rPr>
          <w:rFonts w:hint="eastAsia" w:ascii="宋体" w:hAnsi="宋体"/>
          <w:b/>
          <w:color w:val="auto"/>
          <w:sz w:val="28"/>
          <w:szCs w:val="21"/>
          <w:highlight w:val="none"/>
          <w:lang w:val="en-US" w:eastAsia="zh-CN"/>
        </w:rPr>
        <w:t>五</w:t>
      </w:r>
      <w:r>
        <w:rPr>
          <w:rFonts w:ascii="宋体" w:hAnsi="宋体"/>
          <w:b/>
          <w:color w:val="auto"/>
          <w:sz w:val="28"/>
          <w:szCs w:val="21"/>
          <w:highlight w:val="none"/>
        </w:rPr>
        <w:t>年</w:t>
      </w:r>
      <w:r>
        <w:rPr>
          <w:rFonts w:hint="eastAsia" w:ascii="宋体" w:hAnsi="宋体"/>
          <w:b/>
          <w:color w:val="auto"/>
          <w:sz w:val="28"/>
          <w:szCs w:val="21"/>
          <w:highlight w:val="none"/>
          <w:lang w:val="en-US" w:eastAsia="zh-CN"/>
        </w:rPr>
        <w:t>一</w:t>
      </w:r>
      <w:r>
        <w:rPr>
          <w:rFonts w:ascii="宋体" w:hAnsi="宋体"/>
          <w:b/>
          <w:color w:val="auto"/>
          <w:sz w:val="28"/>
          <w:szCs w:val="21"/>
          <w:highlight w:val="none"/>
        </w:rPr>
        <w:t>月</w:t>
      </w:r>
    </w:p>
    <w:p w14:paraId="7464F7D2">
      <w:pPr>
        <w:autoSpaceDE w:val="0"/>
        <w:autoSpaceDN w:val="0"/>
        <w:adjustRightInd w:val="0"/>
        <w:snapToGrid w:val="0"/>
        <w:spacing w:line="360" w:lineRule="auto"/>
        <w:ind w:left="420" w:firstLine="420"/>
        <w:jc w:val="center"/>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0DA8282C">
      <w:pPr>
        <w:jc w:val="center"/>
        <w:outlineLvl w:val="0"/>
        <w:rPr>
          <w:rFonts w:hint="eastAsia" w:ascii="宋体" w:hAnsi="宋体"/>
          <w:b/>
          <w:bCs/>
          <w:color w:val="auto"/>
          <w:kern w:val="0"/>
          <w:sz w:val="32"/>
          <w:szCs w:val="32"/>
          <w:highlight w:val="none"/>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3C468862">
      <w:pPr>
        <w:pStyle w:val="20"/>
        <w:numPr>
          <w:ilvl w:val="0"/>
          <w:numId w:val="1"/>
        </w:numPr>
        <w:spacing w:before="0" w:after="0"/>
        <w:rPr>
          <w:color w:val="auto"/>
          <w:highlight w:val="none"/>
        </w:rPr>
      </w:pPr>
      <w:r>
        <w:rPr>
          <w:rFonts w:hint="eastAsia"/>
          <w:color w:val="auto"/>
          <w:highlight w:val="none"/>
        </w:rPr>
        <w:t>竞价</w:t>
      </w:r>
      <w:r>
        <w:rPr>
          <w:rFonts w:hint="eastAsia"/>
          <w:color w:val="auto"/>
          <w:highlight w:val="none"/>
          <w:lang w:val="en-US" w:eastAsia="zh-CN"/>
        </w:rPr>
        <w:t>邀请函</w:t>
      </w:r>
    </w:p>
    <w:p w14:paraId="0D3BE478">
      <w:pPr>
        <w:spacing w:line="360" w:lineRule="auto"/>
        <w:ind w:firstLine="420" w:firstLineChars="200"/>
        <w:rPr>
          <w:color w:val="auto"/>
          <w:highlight w:val="none"/>
        </w:rPr>
      </w:pPr>
      <w:r>
        <w:rPr>
          <w:rFonts w:hint="eastAsia"/>
          <w:color w:val="auto"/>
          <w:highlight w:val="none"/>
        </w:rPr>
        <w:t>广东省机电设备招标有限公司受</w:t>
      </w:r>
      <w:r>
        <w:rPr>
          <w:rFonts w:hint="eastAsia"/>
          <w:color w:val="auto"/>
          <w:highlight w:val="none"/>
          <w:lang w:eastAsia="zh-CN"/>
        </w:rPr>
        <w:t>广东省未成年犯管教所</w:t>
      </w:r>
      <w:r>
        <w:rPr>
          <w:rFonts w:hint="eastAsia"/>
          <w:color w:val="auto"/>
          <w:highlight w:val="none"/>
        </w:rPr>
        <w:t>的委托，对</w:t>
      </w:r>
      <w:r>
        <w:rPr>
          <w:rFonts w:hint="eastAsia"/>
          <w:color w:val="auto"/>
          <w:highlight w:val="none"/>
          <w:lang w:eastAsia="zh-CN"/>
        </w:rPr>
        <w:t>广东省未成年犯管教所南、北门防冲撞液压式自动升降柱采购项目</w:t>
      </w:r>
      <w:r>
        <w:rPr>
          <w:rFonts w:hint="eastAsia"/>
          <w:color w:val="auto"/>
          <w:highlight w:val="none"/>
        </w:rPr>
        <w:t>进行竞价采购。欢迎符合资格条件的供应商参加。该项目相关情况如下：</w:t>
      </w:r>
    </w:p>
    <w:p w14:paraId="3FF16818">
      <w:pPr>
        <w:numPr>
          <w:ilvl w:val="0"/>
          <w:numId w:val="2"/>
        </w:numPr>
        <w:spacing w:line="360" w:lineRule="auto"/>
        <w:rPr>
          <w:b/>
          <w:bCs/>
          <w:color w:val="auto"/>
          <w:highlight w:val="none"/>
        </w:rPr>
      </w:pPr>
      <w:r>
        <w:rPr>
          <w:rFonts w:hint="eastAsia"/>
          <w:b/>
          <w:bCs/>
          <w:color w:val="auto"/>
          <w:highlight w:val="none"/>
        </w:rPr>
        <w:t> 项目概况：</w:t>
      </w:r>
    </w:p>
    <w:p w14:paraId="619CE940">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采购项目编号：M4400000707525568007</w:t>
      </w:r>
    </w:p>
    <w:p w14:paraId="79E7FA90">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项目名称：</w:t>
      </w:r>
      <w:r>
        <w:rPr>
          <w:rFonts w:hint="eastAsia"/>
          <w:color w:val="auto"/>
          <w:highlight w:val="none"/>
          <w:lang w:eastAsia="zh-CN"/>
        </w:rPr>
        <w:t>广东省未成年犯管教所南、北门防冲撞液压式自动升降柱采购项目</w:t>
      </w:r>
    </w:p>
    <w:p w14:paraId="35292D71">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3．</w:t>
      </w:r>
      <w:r>
        <w:rPr>
          <w:rFonts w:hint="eastAsia"/>
          <w:color w:val="auto"/>
          <w:highlight w:val="none"/>
          <w:lang w:val="en-US" w:eastAsia="zh-CN"/>
        </w:rPr>
        <w:t>包组划分：本项目共1个包组</w:t>
      </w:r>
    </w:p>
    <w:p w14:paraId="52B5E07D">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4．</w:t>
      </w:r>
      <w:r>
        <w:rPr>
          <w:rFonts w:hint="eastAsia"/>
          <w:color w:val="auto"/>
          <w:highlight w:val="none"/>
        </w:rPr>
        <w:t>项目内容及需求：</w:t>
      </w:r>
      <w:r>
        <w:rPr>
          <w:rFonts w:hint="eastAsia"/>
          <w:color w:val="auto"/>
          <w:highlight w:val="none"/>
          <w:lang w:val="en-US" w:eastAsia="zh-CN"/>
        </w:rPr>
        <w:t>本项目</w:t>
      </w:r>
      <w:r>
        <w:rPr>
          <w:rFonts w:hint="eastAsia"/>
          <w:color w:val="auto"/>
          <w:highlight w:val="none"/>
        </w:rPr>
        <w:t>拟通过电子竞价选定1家成交供应商</w:t>
      </w:r>
      <w:r>
        <w:rPr>
          <w:rFonts w:hint="eastAsia"/>
          <w:color w:val="auto"/>
          <w:highlight w:val="none"/>
          <w:lang w:eastAsia="zh-CN"/>
        </w:rPr>
        <w:t>，</w:t>
      </w:r>
      <w:r>
        <w:rPr>
          <w:rFonts w:hint="eastAsia" w:ascii="宋体" w:hAnsi="宋体"/>
          <w:color w:val="auto"/>
          <w:kern w:val="1"/>
          <w:szCs w:val="21"/>
          <w:highlight w:val="none"/>
          <w:lang w:val="zh-CN"/>
        </w:rPr>
        <w:t>成交供应商承包及负责</w:t>
      </w:r>
      <w:r>
        <w:rPr>
          <w:rFonts w:hint="eastAsia" w:ascii="宋体" w:hAnsi="宋体"/>
          <w:color w:val="auto"/>
          <w:kern w:val="1"/>
          <w:szCs w:val="21"/>
          <w:highlight w:val="none"/>
        </w:rPr>
        <w:t>竞价</w:t>
      </w:r>
      <w:r>
        <w:rPr>
          <w:rFonts w:hint="eastAsia" w:ascii="宋体" w:hAnsi="宋体"/>
          <w:color w:val="auto"/>
          <w:kern w:val="1"/>
          <w:szCs w:val="21"/>
          <w:highlight w:val="none"/>
          <w:lang w:val="zh-CN"/>
        </w:rPr>
        <w:t>文件对供应商要求的一切事宜及责任，包括但不限于</w:t>
      </w:r>
      <w:r>
        <w:rPr>
          <w:rFonts w:hint="eastAsia" w:ascii="宋体" w:hAnsi="宋体" w:cs="宋体"/>
          <w:b w:val="0"/>
          <w:bCs/>
          <w:color w:val="auto"/>
          <w:sz w:val="21"/>
          <w:szCs w:val="21"/>
          <w:highlight w:val="none"/>
          <w:lang w:val="en-US" w:eastAsia="zh-CN"/>
        </w:rPr>
        <w:t>防冲撞液压式自动升降柱的配送并安装到位（详见</w:t>
      </w:r>
      <w:r>
        <w:rPr>
          <w:rFonts w:hint="eastAsia"/>
          <w:color w:val="auto"/>
          <w:highlight w:val="none"/>
        </w:rPr>
        <w:t>竞价文件第三部分“用户需求书”</w:t>
      </w:r>
      <w:r>
        <w:rPr>
          <w:rFonts w:hint="eastAsia" w:ascii="宋体" w:hAnsi="宋体" w:cs="宋体"/>
          <w:b w:val="0"/>
          <w:bCs/>
          <w:color w:val="auto"/>
          <w:sz w:val="21"/>
          <w:szCs w:val="21"/>
          <w:highlight w:val="none"/>
          <w:lang w:val="en-US" w:eastAsia="zh-CN"/>
        </w:rPr>
        <w:t>）的道具准备、场地布置、工作人员配备,具体道具、设施及人员配备等</w:t>
      </w:r>
      <w:r>
        <w:rPr>
          <w:rFonts w:hint="eastAsia"/>
          <w:color w:val="auto"/>
          <w:highlight w:val="none"/>
        </w:rPr>
        <w:t>。</w:t>
      </w:r>
    </w:p>
    <w:tbl>
      <w:tblPr>
        <w:tblStyle w:val="23"/>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56"/>
        <w:gridCol w:w="723"/>
        <w:gridCol w:w="2544"/>
        <w:gridCol w:w="2059"/>
      </w:tblGrid>
      <w:tr w14:paraId="652E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66" w:type="dxa"/>
            <w:shd w:val="clear" w:color="auto" w:fill="EEECE1"/>
            <w:vAlign w:val="center"/>
          </w:tcPr>
          <w:p w14:paraId="6B53854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2456" w:type="dxa"/>
            <w:shd w:val="clear" w:color="auto" w:fill="EEECE1"/>
            <w:vAlign w:val="center"/>
          </w:tcPr>
          <w:p w14:paraId="04357817">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采购内容</w:t>
            </w:r>
          </w:p>
        </w:tc>
        <w:tc>
          <w:tcPr>
            <w:tcW w:w="723" w:type="dxa"/>
            <w:shd w:val="clear" w:color="auto" w:fill="EEECE1"/>
            <w:vAlign w:val="center"/>
          </w:tcPr>
          <w:p w14:paraId="35B2BD13">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2544" w:type="dxa"/>
            <w:shd w:val="clear" w:color="auto" w:fill="EEECE1"/>
            <w:vAlign w:val="center"/>
          </w:tcPr>
          <w:p w14:paraId="46A7DCD3">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bidi="ar"/>
              </w:rPr>
              <w:t>技术规格、参数及要求</w:t>
            </w:r>
          </w:p>
        </w:tc>
        <w:tc>
          <w:tcPr>
            <w:tcW w:w="2059" w:type="dxa"/>
            <w:shd w:val="clear" w:color="auto" w:fill="EEECE1"/>
            <w:vAlign w:val="center"/>
          </w:tcPr>
          <w:p w14:paraId="578E6174">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7FBF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66" w:type="dxa"/>
            <w:vAlign w:val="center"/>
          </w:tcPr>
          <w:p w14:paraId="16FCEC7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456" w:type="dxa"/>
            <w:vAlign w:val="center"/>
          </w:tcPr>
          <w:p w14:paraId="2BB1B09D">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val="en-US" w:eastAsia="zh-CN"/>
              </w:rPr>
              <w:t>广东省未成年犯管教所南门防冲撞液压式自动升降柱</w:t>
            </w:r>
          </w:p>
        </w:tc>
        <w:tc>
          <w:tcPr>
            <w:tcW w:w="723" w:type="dxa"/>
            <w:vAlign w:val="center"/>
          </w:tcPr>
          <w:p w14:paraId="5EB29905">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5根</w:t>
            </w:r>
          </w:p>
        </w:tc>
        <w:tc>
          <w:tcPr>
            <w:tcW w:w="2544" w:type="dxa"/>
            <w:vAlign w:val="center"/>
          </w:tcPr>
          <w:p w14:paraId="230729B4">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bidi="ar"/>
              </w:rPr>
              <w:t>详见</w:t>
            </w:r>
            <w:r>
              <w:rPr>
                <w:rFonts w:hint="eastAsia"/>
                <w:color w:val="auto"/>
                <w:highlight w:val="none"/>
              </w:rPr>
              <w:t>用户需求书</w:t>
            </w:r>
            <w:r>
              <w:rPr>
                <w:rFonts w:hint="eastAsia" w:ascii="宋体" w:hAnsi="宋体" w:eastAsia="宋体" w:cs="宋体"/>
                <w:sz w:val="21"/>
                <w:szCs w:val="21"/>
                <w:highlight w:val="none"/>
                <w:lang w:val="en-US" w:eastAsia="zh-CN" w:bidi="ar"/>
              </w:rPr>
              <w:t>“技术要求”</w:t>
            </w:r>
          </w:p>
        </w:tc>
        <w:tc>
          <w:tcPr>
            <w:tcW w:w="2059" w:type="dxa"/>
            <w:vAlign w:val="center"/>
          </w:tcPr>
          <w:p w14:paraId="6A0950C7">
            <w:pPr>
              <w:pStyle w:val="22"/>
              <w:keepNext w:val="0"/>
              <w:keepLines w:val="0"/>
              <w:pageBreakBefore w:val="0"/>
              <w:kinsoku/>
              <w:wordWrap/>
              <w:overflowPunct/>
              <w:topLinePunct w:val="0"/>
              <w:autoSpaceDE/>
              <w:autoSpaceDN/>
              <w:bidi w:val="0"/>
              <w:adjustRightInd/>
              <w:snapToGrid/>
              <w:spacing w:after="0" w:line="360" w:lineRule="exact"/>
              <w:ind w:firstLine="0" w:firstLineChars="0"/>
              <w:jc w:val="both"/>
              <w:textAlignment w:val="auto"/>
              <w:rPr>
                <w:rFonts w:hint="eastAsia" w:ascii="宋体" w:hAnsi="宋体" w:eastAsia="宋体" w:cs="宋体"/>
                <w:sz w:val="21"/>
                <w:szCs w:val="21"/>
                <w:highlight w:val="none"/>
                <w:lang w:val="en-US" w:eastAsia="zh-CN"/>
              </w:rPr>
            </w:pPr>
            <w:bookmarkStart w:id="0" w:name="_GoBack"/>
            <w:r>
              <w:rPr>
                <w:rFonts w:hint="eastAsia" w:ascii="宋体" w:hAnsi="宋体" w:eastAsia="宋体" w:cs="宋体"/>
                <w:highlight w:val="none"/>
                <w:lang w:val="en-US" w:eastAsia="zh-CN"/>
              </w:rPr>
              <w:drawing>
                <wp:anchor distT="0" distB="0" distL="114300" distR="114300" simplePos="0" relativeHeight="251662336" behindDoc="1" locked="0" layoutInCell="1" allowOverlap="1">
                  <wp:simplePos x="0" y="0"/>
                  <wp:positionH relativeFrom="column">
                    <wp:posOffset>-19050</wp:posOffset>
                  </wp:positionH>
                  <wp:positionV relativeFrom="paragraph">
                    <wp:posOffset>-64770</wp:posOffset>
                  </wp:positionV>
                  <wp:extent cx="1193165" cy="771525"/>
                  <wp:effectExtent l="0" t="0" r="6985" b="9525"/>
                  <wp:wrapNone/>
                  <wp:docPr id="13" name="图片 13" descr="90b02642fed58730399193fa82ce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0b02642fed58730399193fa82ce3b2"/>
                          <pic:cNvPicPr>
                            <a:picLocks noChangeAspect="1"/>
                          </pic:cNvPicPr>
                        </pic:nvPicPr>
                        <pic:blipFill>
                          <a:blip r:embed="rId8"/>
                          <a:stretch>
                            <a:fillRect/>
                          </a:stretch>
                        </pic:blipFill>
                        <pic:spPr>
                          <a:xfrm>
                            <a:off x="0" y="0"/>
                            <a:ext cx="1193165" cy="771525"/>
                          </a:xfrm>
                          <a:prstGeom prst="rect">
                            <a:avLst/>
                          </a:prstGeom>
                        </pic:spPr>
                      </pic:pic>
                    </a:graphicData>
                  </a:graphic>
                </wp:anchor>
              </w:drawing>
            </w:r>
            <w:bookmarkEnd w:id="0"/>
          </w:p>
        </w:tc>
      </w:tr>
      <w:tr w14:paraId="0B2B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666" w:type="dxa"/>
            <w:vAlign w:val="center"/>
          </w:tcPr>
          <w:p w14:paraId="19B63999">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eastAsia="zh-CN"/>
              </w:rPr>
            </w:pPr>
          </w:p>
        </w:tc>
        <w:tc>
          <w:tcPr>
            <w:tcW w:w="2456" w:type="dxa"/>
            <w:vAlign w:val="center"/>
          </w:tcPr>
          <w:p w14:paraId="78AC4DB8">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广东省未成年犯管教所北门防冲撞液压式自动升降柱</w:t>
            </w:r>
          </w:p>
        </w:tc>
        <w:tc>
          <w:tcPr>
            <w:tcW w:w="723" w:type="dxa"/>
            <w:vAlign w:val="center"/>
          </w:tcPr>
          <w:p w14:paraId="7A9801CF">
            <w:pPr>
              <w:keepNext w:val="0"/>
              <w:keepLines w:val="0"/>
              <w:pageBreakBefore w:val="0"/>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5根</w:t>
            </w:r>
          </w:p>
        </w:tc>
        <w:tc>
          <w:tcPr>
            <w:tcW w:w="2544" w:type="dxa"/>
            <w:vAlign w:val="center"/>
          </w:tcPr>
          <w:p w14:paraId="59BBD1E5">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详见</w:t>
            </w:r>
            <w:r>
              <w:rPr>
                <w:rFonts w:hint="eastAsia"/>
                <w:color w:val="auto"/>
                <w:highlight w:val="none"/>
              </w:rPr>
              <w:t>用户需求书</w:t>
            </w:r>
            <w:r>
              <w:rPr>
                <w:rFonts w:hint="eastAsia" w:ascii="宋体" w:hAnsi="宋体" w:eastAsia="宋体" w:cs="宋体"/>
                <w:sz w:val="21"/>
                <w:szCs w:val="21"/>
                <w:highlight w:val="none"/>
                <w:lang w:val="en-US" w:eastAsia="zh-CN" w:bidi="ar"/>
              </w:rPr>
              <w:t>“技术要求”</w:t>
            </w:r>
          </w:p>
        </w:tc>
        <w:tc>
          <w:tcPr>
            <w:tcW w:w="2059" w:type="dxa"/>
            <w:vAlign w:val="center"/>
          </w:tcPr>
          <w:p w14:paraId="784153CE">
            <w:pPr>
              <w:pStyle w:val="22"/>
              <w:keepNext w:val="0"/>
              <w:keepLines w:val="0"/>
              <w:pageBreakBefore w:val="0"/>
              <w:kinsoku/>
              <w:wordWrap/>
              <w:overflowPunct/>
              <w:topLinePunct w:val="0"/>
              <w:autoSpaceDE/>
              <w:autoSpaceDN/>
              <w:bidi w:val="0"/>
              <w:adjustRightInd/>
              <w:snapToGrid/>
              <w:spacing w:after="0" w:line="360" w:lineRule="exact"/>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highlight w:val="none"/>
                <w:lang w:val="en-US" w:eastAsia="zh-CN"/>
              </w:rPr>
              <w:drawing>
                <wp:anchor distT="0" distB="0" distL="114300" distR="114300" simplePos="0" relativeHeight="251662336" behindDoc="1" locked="0" layoutInCell="1" allowOverlap="1">
                  <wp:simplePos x="0" y="0"/>
                  <wp:positionH relativeFrom="column">
                    <wp:posOffset>-19050</wp:posOffset>
                  </wp:positionH>
                  <wp:positionV relativeFrom="paragraph">
                    <wp:posOffset>33655</wp:posOffset>
                  </wp:positionV>
                  <wp:extent cx="1207135" cy="780415"/>
                  <wp:effectExtent l="0" t="0" r="12065" b="635"/>
                  <wp:wrapNone/>
                  <wp:docPr id="14" name="图片 14" descr="bca184996e84efc61b8f12616eec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ca184996e84efc61b8f12616eec994"/>
                          <pic:cNvPicPr>
                            <a:picLocks noChangeAspect="1"/>
                          </pic:cNvPicPr>
                        </pic:nvPicPr>
                        <pic:blipFill>
                          <a:blip r:embed="rId9"/>
                          <a:stretch>
                            <a:fillRect/>
                          </a:stretch>
                        </pic:blipFill>
                        <pic:spPr>
                          <a:xfrm>
                            <a:off x="0" y="0"/>
                            <a:ext cx="1207135" cy="780415"/>
                          </a:xfrm>
                          <a:prstGeom prst="rect">
                            <a:avLst/>
                          </a:prstGeom>
                        </pic:spPr>
                      </pic:pic>
                    </a:graphicData>
                  </a:graphic>
                </wp:anchor>
              </w:drawing>
            </w:r>
          </w:p>
        </w:tc>
      </w:tr>
    </w:tbl>
    <w:p w14:paraId="676184A4">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5．</w:t>
      </w:r>
      <w:r>
        <w:rPr>
          <w:rFonts w:hint="eastAsia"/>
          <w:color w:val="auto"/>
          <w:highlight w:val="none"/>
        </w:rPr>
        <w:t>采购品目:</w:t>
      </w:r>
      <w:r>
        <w:rPr>
          <w:rFonts w:hint="eastAsia"/>
          <w:color w:val="auto"/>
          <w:highlight w:val="none"/>
          <w:lang w:val="en-US" w:eastAsia="zh-CN"/>
        </w:rPr>
        <w:t>货物</w:t>
      </w:r>
    </w:p>
    <w:p w14:paraId="400161AB">
      <w:pPr>
        <w:numPr>
          <w:ilvl w:val="0"/>
          <w:numId w:val="0"/>
        </w:numPr>
        <w:spacing w:line="360" w:lineRule="auto"/>
        <w:ind w:left="0" w:leftChars="0" w:firstLine="420" w:firstLineChars="200"/>
        <w:rPr>
          <w:highlight w:val="none"/>
        </w:rPr>
      </w:pPr>
      <w:r>
        <w:rPr>
          <w:rFonts w:hint="default" w:ascii="Times New Roman" w:hAnsi="Times New Roman" w:eastAsia="宋体" w:cs="Times New Roman"/>
          <w:kern w:val="2"/>
          <w:sz w:val="21"/>
          <w:szCs w:val="24"/>
          <w:highlight w:val="none"/>
          <w:lang w:val="en-US" w:eastAsia="zh-CN" w:bidi="ar-SA"/>
        </w:rPr>
        <w:t>6．</w:t>
      </w:r>
      <w:r>
        <w:rPr>
          <w:rFonts w:hint="eastAsia"/>
          <w:color w:val="auto"/>
          <w:highlight w:val="none"/>
          <w:lang w:val="en-US" w:eastAsia="zh-CN"/>
        </w:rPr>
        <w:t>项目预算：137930元</w:t>
      </w:r>
    </w:p>
    <w:p w14:paraId="6406D137">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7.最高限价：137930元</w:t>
      </w:r>
    </w:p>
    <w:p w14:paraId="2D77C9C1">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注：（1）报价超出预算金额的列为无效报价处理。</w:t>
      </w:r>
    </w:p>
    <w:p w14:paraId="1BA1DF7A">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（2）供应商必须对本项目的全部内容进行报价，如有缺漏，将导致报价无效。</w:t>
      </w:r>
    </w:p>
    <w:p w14:paraId="2E9865A0">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（3）报价应为人民币含税全包价，包括升降柱及相关配套设备费、安装调试费、土建费、人工费、税金、验收和履约过程可预见或不可预见的一切费用。</w:t>
      </w:r>
    </w:p>
    <w:p w14:paraId="506CEEC1">
      <w:pPr>
        <w:numPr>
          <w:ilvl w:val="0"/>
          <w:numId w:val="0"/>
        </w:numPr>
        <w:spacing w:line="360" w:lineRule="auto"/>
        <w:ind w:left="0" w:leftChars="0" w:firstLine="420" w:firstLineChars="200"/>
        <w:rPr>
          <w:rFonts w:hint="eastAsia"/>
          <w:color w:val="auto"/>
          <w:highlight w:val="none"/>
          <w:lang w:val="en-US" w:eastAsia="zh-CN"/>
        </w:rPr>
      </w:pPr>
      <w:r>
        <w:rPr>
          <w:rFonts w:hint="eastAsia"/>
          <w:color w:val="auto"/>
          <w:highlight w:val="none"/>
          <w:lang w:val="en-US" w:eastAsia="zh-CN"/>
        </w:rPr>
        <w:t>（4）本项目为一个整体，供应商须对全部内容进行报价，不得分拆报价。</w:t>
      </w:r>
    </w:p>
    <w:p w14:paraId="675C5CB6">
      <w:pPr>
        <w:numPr>
          <w:ilvl w:val="0"/>
          <w:numId w:val="0"/>
        </w:numPr>
        <w:spacing w:line="360" w:lineRule="auto"/>
        <w:ind w:left="0" w:leftChars="0" w:firstLine="420" w:firstLineChars="200"/>
        <w:rPr>
          <w:rFonts w:hint="default"/>
          <w:highlight w:val="none"/>
          <w:lang w:val="en-US"/>
        </w:rPr>
      </w:pPr>
      <w:r>
        <w:rPr>
          <w:rFonts w:hint="eastAsia"/>
          <w:color w:val="auto"/>
          <w:highlight w:val="none"/>
          <w:lang w:val="en-US" w:eastAsia="zh-CN"/>
        </w:rPr>
        <w:t>8.项目实施地点：广州市白云区石潭路376号</w:t>
      </w:r>
    </w:p>
    <w:p w14:paraId="6C15C92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lang w:val="en-US" w:eastAsia="zh-CN"/>
        </w:rPr>
        <w:t>9.周期内容</w:t>
      </w:r>
      <w:r>
        <w:rPr>
          <w:rFonts w:hint="eastAsia"/>
          <w:color w:val="auto"/>
          <w:highlight w:val="none"/>
        </w:rPr>
        <w:t>：自合同签订之日起十五个工作日内完成</w:t>
      </w:r>
      <w:r>
        <w:rPr>
          <w:rFonts w:hint="eastAsia"/>
          <w:color w:val="auto"/>
          <w:highlight w:val="none"/>
          <w:lang w:eastAsia="zh-CN"/>
        </w:rPr>
        <w:t>。</w:t>
      </w:r>
    </w:p>
    <w:p w14:paraId="1BBEB2D7">
      <w:pPr>
        <w:numPr>
          <w:ilvl w:val="0"/>
          <w:numId w:val="2"/>
        </w:numPr>
        <w:spacing w:line="360" w:lineRule="auto"/>
        <w:rPr>
          <w:b/>
          <w:bCs/>
          <w:color w:val="auto"/>
          <w:highlight w:val="none"/>
        </w:rPr>
      </w:pPr>
      <w:r>
        <w:rPr>
          <w:rFonts w:hint="eastAsia"/>
          <w:b/>
          <w:bCs/>
          <w:color w:val="auto"/>
          <w:highlight w:val="none"/>
        </w:rPr>
        <w:t>供应商资格要求：</w:t>
      </w:r>
    </w:p>
    <w:p w14:paraId="622FE11B">
      <w:pPr>
        <w:numPr>
          <w:ilvl w:val="0"/>
          <w:numId w:val="0"/>
        </w:numPr>
        <w:spacing w:line="360" w:lineRule="auto"/>
        <w:ind w:left="0" w:leftChars="0" w:firstLine="400" w:firstLine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已在“</w:t>
      </w:r>
      <w:r>
        <w:rPr>
          <w:rFonts w:hint="eastAsia"/>
          <w:color w:val="auto"/>
          <w:highlight w:val="none"/>
          <w:lang w:eastAsia="zh-CN"/>
        </w:rPr>
        <w:t>广咨电子招投标交易平台</w:t>
      </w:r>
      <w:r>
        <w:rPr>
          <w:rFonts w:hint="eastAsia"/>
          <w:color w:val="auto"/>
          <w:highlight w:val="none"/>
        </w:rPr>
        <w:t>”登记注册的供应商。</w:t>
      </w:r>
    </w:p>
    <w:p w14:paraId="086380E2">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．在中</w:t>
      </w:r>
      <w:r>
        <w:rPr>
          <w:rFonts w:hint="eastAsia" w:cs="Times New Roman"/>
          <w:color w:val="auto"/>
          <w:kern w:val="2"/>
          <w:sz w:val="21"/>
          <w:szCs w:val="24"/>
          <w:highlight w:val="none"/>
          <w:lang w:val="en-US" w:eastAsia="zh-CN" w:bidi="ar-SA"/>
        </w:rPr>
        <w:t>华</w:t>
      </w:r>
      <w:r>
        <w:rPr>
          <w:rFonts w:hint="default" w:ascii="Times New Roman" w:hAnsi="Times New Roman" w:eastAsia="宋体" w:cs="Times New Roman"/>
          <w:color w:val="auto"/>
          <w:kern w:val="2"/>
          <w:sz w:val="21"/>
          <w:szCs w:val="24"/>
          <w:highlight w:val="none"/>
          <w:lang w:val="en-US" w:eastAsia="zh-CN" w:bidi="ar-SA"/>
        </w:rPr>
        <w:t>人民共和国境内注册成立的企业</w:t>
      </w:r>
      <w:r>
        <w:rPr>
          <w:rFonts w:hint="eastAsia" w:cs="Times New Roman"/>
          <w:color w:val="auto"/>
          <w:kern w:val="2"/>
          <w:sz w:val="21"/>
          <w:szCs w:val="24"/>
          <w:highlight w:val="none"/>
          <w:lang w:val="en-US" w:eastAsia="zh-CN" w:bidi="ar-SA"/>
        </w:rPr>
        <w:t>，具有独立承担民事责任的能力，</w:t>
      </w:r>
      <w:r>
        <w:rPr>
          <w:rFonts w:hint="eastAsia" w:ascii="Times New Roman" w:hAnsi="Times New Roman" w:cs="Times New Roman"/>
          <w:color w:val="auto"/>
          <w:highlight w:val="none"/>
        </w:rPr>
        <w:t>具有独立法人资格，提供法人或其他组织的营业执照等证明材料。</w:t>
      </w:r>
    </w:p>
    <w:p w14:paraId="25B1AAEA">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具有良好的商业信誉和健全的财务会计制度</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33809B8E">
      <w:pPr>
        <w:numPr>
          <w:ilvl w:val="0"/>
          <w:numId w:val="0"/>
        </w:numPr>
        <w:spacing w:line="360" w:lineRule="auto"/>
        <w:ind w:left="0" w:leftChars="0" w:firstLine="400" w:firstLineChars="0"/>
        <w:rPr>
          <w:rFonts w:hint="eastAsia" w:cs="Times New Roman"/>
          <w:color w:val="auto"/>
          <w:highlight w:val="none"/>
          <w:lang w:val="en-US" w:eastAsia="zh-CN"/>
        </w:rPr>
      </w:pPr>
      <w:r>
        <w:rPr>
          <w:rFonts w:hint="eastAsia" w:cs="Times New Roman"/>
          <w:color w:val="auto"/>
          <w:highlight w:val="none"/>
          <w:lang w:val="en-US" w:eastAsia="zh-CN"/>
        </w:rPr>
        <w:t>4.具有履行合同所必需的设备和专业技术能力</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61588110">
      <w:pPr>
        <w:numPr>
          <w:ilvl w:val="0"/>
          <w:numId w:val="0"/>
        </w:numPr>
        <w:spacing w:line="360" w:lineRule="auto"/>
        <w:ind w:left="0" w:leftChars="0" w:firstLine="400" w:firstLineChars="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5.</w:t>
      </w:r>
      <w:r>
        <w:rPr>
          <w:rFonts w:hint="eastAsia" w:ascii="Times New Roman" w:hAnsi="Times New Roman" w:cs="Times New Roman"/>
          <w:color w:val="auto"/>
          <w:highlight w:val="none"/>
        </w:rPr>
        <w:t>有依法缴纳税收和社会保障资金的良好记录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01E23DA9">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参加采购活动前三年内没有重大违法记录</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6C5D8FDE">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7</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法律、行政法规规定的其他条件。</w:t>
      </w:r>
      <w:r>
        <w:rPr>
          <w:rFonts w:hint="eastAsia" w:cs="Times New Roman"/>
          <w:color w:val="auto"/>
          <w:highlight w:val="none"/>
          <w:lang w:eastAsia="zh-CN"/>
        </w:rPr>
        <w:t>（</w:t>
      </w:r>
      <w:r>
        <w:rPr>
          <w:rFonts w:hint="eastAsia" w:cs="Times New Roman"/>
          <w:color w:val="auto"/>
          <w:highlight w:val="none"/>
          <w:lang w:val="en-US" w:eastAsia="zh-CN"/>
        </w:rPr>
        <w:t>按</w:t>
      </w:r>
      <w:r>
        <w:rPr>
          <w:rFonts w:hint="eastAsia" w:cs="Times New Roman"/>
          <w:color w:val="auto"/>
          <w:highlight w:val="none"/>
          <w:lang w:eastAsia="zh-CN"/>
        </w:rPr>
        <w:t>《供应商资格、用户需求书及合同条款响应声明函》</w:t>
      </w:r>
      <w:r>
        <w:rPr>
          <w:rFonts w:hint="eastAsia" w:cs="Times New Roman"/>
          <w:color w:val="auto"/>
          <w:highlight w:val="none"/>
          <w:lang w:val="en-US" w:eastAsia="zh-CN"/>
        </w:rPr>
        <w:t>格式承诺</w:t>
      </w:r>
      <w:r>
        <w:rPr>
          <w:rFonts w:hint="eastAsia" w:cs="Times New Roman"/>
          <w:color w:val="auto"/>
          <w:highlight w:val="none"/>
          <w:lang w:eastAsia="zh-CN"/>
        </w:rPr>
        <w:t>）。</w:t>
      </w:r>
    </w:p>
    <w:p w14:paraId="4E175DC1">
      <w:pPr>
        <w:numPr>
          <w:ilvl w:val="0"/>
          <w:numId w:val="0"/>
        </w:numPr>
        <w:spacing w:line="360" w:lineRule="auto"/>
        <w:ind w:left="0" w:leftChars="0" w:firstLine="400" w:firstLineChars="0"/>
        <w:rPr>
          <w:rFonts w:hint="eastAsia" w:ascii="Times New Roman" w:hAnsi="Times New Roman" w:cs="Times New Roman"/>
          <w:color w:val="auto"/>
          <w:highlight w:val="none"/>
        </w:rPr>
      </w:pPr>
      <w:r>
        <w:rPr>
          <w:rFonts w:hint="eastAsia" w:cs="Times New Roman"/>
          <w:color w:val="auto"/>
          <w:kern w:val="2"/>
          <w:sz w:val="21"/>
          <w:szCs w:val="24"/>
          <w:highlight w:val="none"/>
          <w:lang w:val="en-US" w:eastAsia="zh-CN" w:bidi="ar-SA"/>
        </w:rPr>
        <w:t>8</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highlight w:val="none"/>
        </w:rPr>
        <w:t>本采购项目不接受联合体。</w:t>
      </w:r>
    </w:p>
    <w:p w14:paraId="4D1AFFFE">
      <w:pPr>
        <w:numPr>
          <w:ilvl w:val="0"/>
          <w:numId w:val="2"/>
        </w:numPr>
        <w:spacing w:line="360" w:lineRule="auto"/>
        <w:rPr>
          <w:b/>
          <w:bCs/>
          <w:color w:val="auto"/>
          <w:highlight w:val="none"/>
        </w:rPr>
      </w:pPr>
      <w:r>
        <w:rPr>
          <w:rFonts w:hint="eastAsia"/>
          <w:b/>
          <w:bCs/>
          <w:color w:val="auto"/>
          <w:highlight w:val="none"/>
        </w:rPr>
        <w:t>电子竞价文件的获取</w:t>
      </w:r>
    </w:p>
    <w:p w14:paraId="534E8BE8">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color w:val="auto"/>
          <w:highlight w:val="none"/>
        </w:rPr>
        <w:t>本项目实行网上发售电子版竞价文件，不出售纸质竞价文件，竞价文件费</w:t>
      </w:r>
      <w:r>
        <w:rPr>
          <w:rFonts w:hint="eastAsia"/>
          <w:color w:val="auto"/>
          <w:highlight w:val="none"/>
          <w:u w:val="single"/>
          <w:lang w:val="en-US" w:eastAsia="zh-CN"/>
        </w:rPr>
        <w:t>0.00</w:t>
      </w:r>
      <w:r>
        <w:rPr>
          <w:rFonts w:hint="eastAsia"/>
          <w:color w:val="auto"/>
          <w:highlight w:val="none"/>
        </w:rPr>
        <w:t>元/套，售后不退。</w:t>
      </w:r>
    </w:p>
    <w:p w14:paraId="2F0633A6">
      <w:pPr>
        <w:numPr>
          <w:ilvl w:val="0"/>
          <w:numId w:val="0"/>
        </w:numPr>
        <w:spacing w:line="360" w:lineRule="auto"/>
        <w:ind w:left="0" w:leftChars="0" w:firstLine="420" w:firstLineChars="200"/>
        <w:rPr>
          <w:color w:val="auto"/>
          <w:highlight w:val="none"/>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highlight w:val="none"/>
        </w:rPr>
        <w:t>竞价文件获取时间为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日至</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17</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00:00至下午23:59</w:t>
      </w:r>
      <w:r>
        <w:rPr>
          <w:rFonts w:hint="eastAsia"/>
          <w:color w:val="auto"/>
          <w:highlight w:val="none"/>
        </w:rPr>
        <w:t>（北京时间，下同），凡有意参与符合资格要求的潜在供应商请登录“</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）进行项目报名（已在该系统注册过的供应商请直接登录系统进行项目报名，未在该系统注册的供应商请先注册，获取登录账号后登录系统进行项目报名）。</w:t>
      </w:r>
    </w:p>
    <w:p w14:paraId="633C7F81">
      <w:pPr>
        <w:numPr>
          <w:ilvl w:val="0"/>
          <w:numId w:val="2"/>
        </w:numPr>
        <w:spacing w:line="360" w:lineRule="auto"/>
        <w:rPr>
          <w:b/>
          <w:bCs/>
          <w:color w:val="auto"/>
          <w:highlight w:val="none"/>
        </w:rPr>
      </w:pPr>
      <w:r>
        <w:rPr>
          <w:rFonts w:hint="eastAsia"/>
          <w:b/>
          <w:bCs/>
          <w:color w:val="auto"/>
          <w:highlight w:val="none"/>
        </w:rPr>
        <w:t>电子竞价时间和方式</w:t>
      </w:r>
    </w:p>
    <w:p w14:paraId="73573172">
      <w:pPr>
        <w:numPr>
          <w:ilvl w:val="0"/>
          <w:numId w:val="3"/>
        </w:numPr>
        <w:spacing w:line="360" w:lineRule="auto"/>
        <w:ind w:left="0" w:leftChars="0" w:firstLine="400" w:firstLineChars="0"/>
        <w:rPr>
          <w:color w:val="auto"/>
          <w:highlight w:val="none"/>
        </w:rPr>
      </w:pPr>
      <w:r>
        <w:rPr>
          <w:rFonts w:hint="eastAsia"/>
          <w:color w:val="auto"/>
          <w:highlight w:val="none"/>
        </w:rPr>
        <w:t>本项目在广咨电子招投标交易平台（以下简称“</w:t>
      </w:r>
      <w:r>
        <w:rPr>
          <w:rFonts w:hint="eastAsia"/>
          <w:color w:val="auto"/>
          <w:highlight w:val="none"/>
          <w:lang w:eastAsia="zh-CN"/>
        </w:rPr>
        <w:t>广咨电子招投标交易平台</w:t>
      </w:r>
      <w:r>
        <w:rPr>
          <w:rFonts w:hint="eastAsia"/>
          <w:color w:val="auto"/>
          <w:highlight w:val="none"/>
        </w:rPr>
        <w:t>”，网址：</w:t>
      </w:r>
      <w:r>
        <w:rPr>
          <w:rFonts w:hint="eastAsia"/>
          <w:color w:val="auto"/>
          <w:highlight w:val="none"/>
          <w:lang w:eastAsia="zh-CN"/>
        </w:rPr>
        <w:t>new.gzebid.cn</w:t>
      </w:r>
      <w:r>
        <w:rPr>
          <w:rFonts w:hint="eastAsia"/>
          <w:color w:val="auto"/>
          <w:highlight w:val="none"/>
        </w:rPr>
        <w:t>）进行全流程电子竞价。</w:t>
      </w:r>
    </w:p>
    <w:p w14:paraId="318DD5B0">
      <w:pPr>
        <w:numPr>
          <w:ilvl w:val="0"/>
          <w:numId w:val="3"/>
        </w:numPr>
        <w:spacing w:line="360" w:lineRule="auto"/>
        <w:ind w:left="0" w:leftChars="0" w:firstLine="400" w:firstLineChars="0"/>
        <w:rPr>
          <w:color w:val="auto"/>
          <w:highlight w:val="none"/>
        </w:rPr>
      </w:pPr>
      <w:r>
        <w:rPr>
          <w:rFonts w:hint="eastAsia"/>
          <w:color w:val="auto"/>
          <w:highlight w:val="none"/>
        </w:rPr>
        <w:t>竞价开始时间为：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14</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033A240B">
      <w:pPr>
        <w:numPr>
          <w:ilvl w:val="0"/>
          <w:numId w:val="3"/>
        </w:numPr>
        <w:spacing w:line="360" w:lineRule="auto"/>
        <w:ind w:left="0" w:leftChars="0" w:firstLine="400" w:firstLineChars="0"/>
        <w:rPr>
          <w:color w:val="auto"/>
          <w:highlight w:val="none"/>
        </w:rPr>
      </w:pPr>
      <w:r>
        <w:rPr>
          <w:rFonts w:hint="eastAsia"/>
          <w:color w:val="auto"/>
          <w:highlight w:val="none"/>
        </w:rPr>
        <w:t>竞价结束时间为：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20</w:t>
      </w:r>
      <w:r>
        <w:rPr>
          <w:rFonts w:hint="eastAsia"/>
          <w:color w:val="auto"/>
          <w:highlight w:val="none"/>
        </w:rPr>
        <w:t>日</w:t>
      </w:r>
      <w:r>
        <w:rPr>
          <w:rFonts w:hint="eastAsia"/>
          <w:color w:val="auto"/>
          <w:highlight w:val="none"/>
          <w:u w:val="single"/>
          <w:lang w:val="en-US" w:eastAsia="zh-CN"/>
        </w:rPr>
        <w:t>15</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p>
    <w:p w14:paraId="006EB760">
      <w:pPr>
        <w:numPr>
          <w:ilvl w:val="0"/>
          <w:numId w:val="3"/>
        </w:numPr>
        <w:spacing w:line="360" w:lineRule="auto"/>
        <w:ind w:left="0" w:leftChars="0" w:firstLine="400" w:firstLineChars="0"/>
        <w:rPr>
          <w:color w:val="auto"/>
          <w:highlight w:val="none"/>
        </w:rPr>
      </w:pPr>
      <w:r>
        <w:rPr>
          <w:rFonts w:hint="eastAsia"/>
          <w:color w:val="auto"/>
          <w:highlight w:val="none"/>
        </w:rPr>
        <w:t>竞价要求</w:t>
      </w:r>
      <w:r>
        <w:rPr>
          <w:rFonts w:hint="eastAsia" w:asciiTheme="minorEastAsia" w:hAnsiTheme="minorEastAsia"/>
          <w:b/>
          <w:color w:val="auto"/>
          <w:szCs w:val="21"/>
          <w:highlight w:val="none"/>
        </w:rPr>
        <w:t>（报价时需要提供以下盖章资料，并对上传的响应文件资料承担责任</w:t>
      </w:r>
      <w:r>
        <w:rPr>
          <w:rFonts w:hint="eastAsia" w:asciiTheme="minorEastAsia" w:hAnsiTheme="minorEastAsia"/>
          <w:bCs/>
          <w:color w:val="auto"/>
          <w:highlight w:val="none"/>
        </w:rPr>
        <w:t>）：</w:t>
      </w:r>
    </w:p>
    <w:p w14:paraId="0294DC37">
      <w:pPr>
        <w:numPr>
          <w:ilvl w:val="0"/>
          <w:numId w:val="0"/>
        </w:numPr>
        <w:spacing w:line="360" w:lineRule="auto"/>
        <w:ind w:left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rPr>
        <w:t>通过报名的供应商应根据竞价文件要求，在规定的竞价时间内对采购项目进行报价</w:t>
      </w:r>
      <w:r>
        <w:rPr>
          <w:rFonts w:hint="eastAsia" w:ascii="Times New Roman" w:hAnsi="Times New Roman" w:cs="Times New Roman"/>
          <w:color w:val="auto"/>
          <w:highlight w:val="none"/>
          <w:lang w:eastAsia="zh-CN"/>
        </w:rPr>
        <w:t>。</w:t>
      </w:r>
    </w:p>
    <w:p w14:paraId="094EDDD1">
      <w:pPr>
        <w:numPr>
          <w:ilvl w:val="0"/>
          <w:numId w:val="0"/>
        </w:numPr>
        <w:spacing w:line="360" w:lineRule="auto"/>
        <w:ind w:leftChars="200"/>
        <w:rPr>
          <w:rFonts w:hint="eastAsia"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（1）报价</w:t>
      </w:r>
      <w:r>
        <w:rPr>
          <w:rFonts w:hint="eastAsia" w:ascii="Times New Roman" w:hAnsi="Times New Roman" w:cs="Times New Roman"/>
          <w:b/>
          <w:bCs/>
          <w:color w:val="auto"/>
          <w:highlight w:val="none"/>
        </w:rPr>
        <w:t>时</w:t>
      </w:r>
      <w:r>
        <w:rPr>
          <w:rFonts w:hint="eastAsia" w:ascii="Times New Roman" w:hAnsi="Times New Roman" w:cs="Times New Roman"/>
          <w:color w:val="auto"/>
          <w:highlight w:val="none"/>
        </w:rPr>
        <w:t>需要提供以下盖章资料，并对上传的报名文件资料承担责任：</w:t>
      </w:r>
    </w:p>
    <w:p w14:paraId="20E283ED">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在中</w:t>
      </w:r>
      <w:r>
        <w:rPr>
          <w:rFonts w:hint="eastAsia" w:cs="Times New Roman"/>
          <w:color w:val="auto"/>
          <w:highlight w:val="none"/>
          <w:lang w:val="en-US" w:eastAsia="zh-CN"/>
        </w:rPr>
        <w:t>华</w:t>
      </w:r>
      <w:r>
        <w:rPr>
          <w:rFonts w:hint="eastAsia" w:ascii="Times New Roman" w:hAnsi="Times New Roman" w:cs="Times New Roman"/>
          <w:color w:val="auto"/>
          <w:highlight w:val="none"/>
        </w:rPr>
        <w:t>人民共和国境内注册成立的企业，具有独立承担民事责任的能力，具有独立法人资格，提供法人或其他组织的营业执照等证明材料。</w:t>
      </w:r>
    </w:p>
    <w:p w14:paraId="59659E68">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经办人如是供应商授权代表，需提供法定代表人证明书及法定代表人身份证复印件和法定代表人授权委托书及授权代表身份证复印件；（如法定代表人亲自办理本项目竞价事宜的，需提供法定代表人身份证复印件及法定代表人证明书，无需提交法定代表人授权委托书及授权代表身份证复印件），</w:t>
      </w:r>
      <w:r>
        <w:rPr>
          <w:rFonts w:hint="eastAsia" w:ascii="Times New Roman" w:hAnsi="Times New Roman" w:cs="Times New Roman"/>
          <w:b w:val="0"/>
          <w:bCs w:val="0"/>
          <w:color w:val="auto"/>
          <w:highlight w:val="none"/>
        </w:rPr>
        <w:t>格式详见附件。</w:t>
      </w:r>
    </w:p>
    <w:p w14:paraId="67A33CBA">
      <w:pPr>
        <w:numPr>
          <w:ilvl w:val="0"/>
          <w:numId w:val="4"/>
        </w:numPr>
        <w:spacing w:line="360" w:lineRule="auto"/>
        <w:ind w:left="0" w:leftChars="0" w:firstLine="400" w:firstLineChars="0"/>
        <w:rPr>
          <w:rFonts w:hint="eastAsia" w:ascii="Times New Roman" w:hAnsi="Times New Roman" w:cs="Times New Roman"/>
          <w:color w:val="auto"/>
          <w:highlight w:val="none"/>
        </w:rPr>
      </w:pPr>
      <w:r>
        <w:rPr>
          <w:rFonts w:hint="eastAsia" w:ascii="Times New Roman" w:hAnsi="Times New Roman" w:cs="Times New Roman"/>
          <w:color w:val="auto"/>
          <w:highlight w:val="none"/>
        </w:rPr>
        <w:t>供应商须完全响应本项目资格要求及用户需求的条款、内容及要求的，</w:t>
      </w:r>
      <w:r>
        <w:rPr>
          <w:rFonts w:hint="eastAsia" w:ascii="Times New Roman" w:hAnsi="Times New Roman" w:cs="Times New Roman"/>
          <w:b w:val="0"/>
          <w:bCs w:val="0"/>
          <w:color w:val="auto"/>
          <w:highlight w:val="none"/>
        </w:rPr>
        <w:t>提供《供应商资格、用户需求书及合同条款响应声明函》，格式详见附件。</w:t>
      </w:r>
    </w:p>
    <w:p w14:paraId="17D6BD29">
      <w:pPr>
        <w:numPr>
          <w:ilvl w:val="0"/>
          <w:numId w:val="4"/>
        </w:numPr>
        <w:spacing w:line="360" w:lineRule="auto"/>
        <w:ind w:left="0" w:leftChars="0" w:firstLine="400" w:firstLineChars="0"/>
        <w:rPr>
          <w:rFonts w:hint="eastAsia"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rPr>
        <w:t>投标人认为有必要提交的其它文件</w:t>
      </w:r>
      <w:r>
        <w:rPr>
          <w:rFonts w:hint="eastAsia" w:ascii="Times New Roman" w:hAnsi="Times New Roman" w:cs="Times New Roman"/>
          <w:color w:val="auto"/>
          <w:highlight w:val="none"/>
        </w:rPr>
        <w:t>，</w:t>
      </w:r>
      <w:r>
        <w:rPr>
          <w:rFonts w:hint="eastAsia" w:ascii="Times New Roman" w:hAnsi="Times New Roman" w:cs="Times New Roman"/>
          <w:b w:val="0"/>
          <w:bCs w:val="0"/>
          <w:color w:val="auto"/>
          <w:highlight w:val="none"/>
        </w:rPr>
        <w:t>格式详见附件。</w:t>
      </w:r>
    </w:p>
    <w:p w14:paraId="12159B5A">
      <w:pPr>
        <w:numPr>
          <w:ilvl w:val="0"/>
          <w:numId w:val="4"/>
        </w:numPr>
        <w:spacing w:line="360" w:lineRule="auto"/>
        <w:ind w:left="0" w:leftChars="0" w:firstLine="400" w:firstLineChars="0"/>
        <w:rPr>
          <w:rFonts w:ascii="宋体" w:hAnsi="宋体" w:cs="宋体"/>
          <w:b w:val="0"/>
          <w:bCs w:val="0"/>
          <w:color w:val="auto"/>
          <w:kern w:val="0"/>
          <w:szCs w:val="21"/>
          <w:highlight w:val="none"/>
        </w:rPr>
      </w:pPr>
      <w:r>
        <w:rPr>
          <w:rFonts w:hint="eastAsia" w:ascii="Times New Roman" w:hAnsi="Times New Roman" w:cs="Times New Roman"/>
          <w:b w:val="0"/>
          <w:bCs w:val="0"/>
          <w:color w:val="auto"/>
          <w:highlight w:val="none"/>
        </w:rPr>
        <w:t>提供印盖供应商公章的</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报价函</w:t>
      </w:r>
      <w:r>
        <w:rPr>
          <w:rFonts w:hint="eastAsia" w:cs="Times New Roman"/>
          <w:b w:val="0"/>
          <w:bCs w:val="0"/>
          <w:color w:val="auto"/>
          <w:highlight w:val="none"/>
          <w:lang w:eastAsia="zh-CN"/>
        </w:rPr>
        <w:t>》</w:t>
      </w:r>
      <w:r>
        <w:rPr>
          <w:rFonts w:hint="eastAsia" w:ascii="Times New Roman" w:hAnsi="Times New Roman" w:cs="Times New Roman"/>
          <w:b w:val="0"/>
          <w:bCs w:val="0"/>
          <w:color w:val="auto"/>
          <w:highlight w:val="none"/>
        </w:rPr>
        <w:t>《报价表》（须按竞价文件要求完整、真实、准确地填写，格式详见附件）</w:t>
      </w:r>
    </w:p>
    <w:p w14:paraId="32CABC99">
      <w:pPr>
        <w:numPr>
          <w:ilvl w:val="0"/>
          <w:numId w:val="3"/>
        </w:numPr>
        <w:spacing w:line="360" w:lineRule="auto"/>
        <w:ind w:left="0" w:leftChars="0" w:firstLine="400" w:firstLineChars="0"/>
        <w:rPr>
          <w:rFonts w:ascii="宋体" w:hAnsi="宋体" w:eastAsia="宋体" w:cs="宋体"/>
          <w:b/>
          <w:bCs/>
          <w:color w:val="auto"/>
          <w:kern w:val="0"/>
          <w:szCs w:val="21"/>
          <w:highlight w:val="none"/>
        </w:rPr>
      </w:pPr>
      <w:r>
        <w:rPr>
          <w:rFonts w:hint="eastAsia"/>
          <w:b/>
          <w:bCs/>
          <w:color w:val="auto"/>
          <w:highlight w:val="none"/>
        </w:rPr>
        <w:t>报价</w:t>
      </w:r>
      <w:r>
        <w:rPr>
          <w:rFonts w:hint="eastAsia" w:ascii="宋体" w:hAnsi="宋体" w:cs="宋体"/>
          <w:b/>
          <w:bCs/>
          <w:color w:val="auto"/>
          <w:kern w:val="0"/>
          <w:szCs w:val="21"/>
          <w:highlight w:val="none"/>
        </w:rPr>
        <w:t>次数：</w:t>
      </w:r>
      <w:r>
        <w:rPr>
          <w:rFonts w:hint="eastAsia" w:ascii="宋体" w:hAnsi="宋体" w:cs="宋体"/>
          <w:b/>
          <w:bCs/>
          <w:color w:val="auto"/>
          <w:kern w:val="0"/>
          <w:szCs w:val="21"/>
          <w:highlight w:val="none"/>
          <w:u w:val="double"/>
          <w:lang w:val="en-US" w:eastAsia="zh-CN"/>
        </w:rPr>
        <w:t>一次报价</w:t>
      </w:r>
      <w:r>
        <w:rPr>
          <w:rFonts w:hint="eastAsia" w:ascii="宋体" w:hAnsi="宋体" w:cs="宋体"/>
          <w:b/>
          <w:bCs/>
          <w:color w:val="auto"/>
          <w:kern w:val="0"/>
          <w:szCs w:val="21"/>
          <w:highlight w:val="none"/>
        </w:rPr>
        <w:t>。</w:t>
      </w:r>
    </w:p>
    <w:p w14:paraId="4899439B">
      <w:pPr>
        <w:numPr>
          <w:ilvl w:val="0"/>
          <w:numId w:val="3"/>
        </w:numPr>
        <w:spacing w:line="360" w:lineRule="auto"/>
        <w:ind w:left="0" w:leftChars="0" w:firstLine="400" w:firstLineChars="0"/>
        <w:rPr>
          <w:color w:val="auto"/>
          <w:highlight w:val="none"/>
        </w:rPr>
      </w:pPr>
      <w:r>
        <w:rPr>
          <w:rFonts w:hint="eastAsia"/>
          <w:color w:val="auto"/>
          <w:highlight w:val="none"/>
        </w:rPr>
        <w:t>成交方式：最</w:t>
      </w:r>
      <w:r>
        <w:rPr>
          <w:rFonts w:hint="eastAsia"/>
          <w:color w:val="auto"/>
          <w:highlight w:val="none"/>
          <w:lang w:val="en-US" w:eastAsia="zh-CN"/>
        </w:rPr>
        <w:t>低</w:t>
      </w:r>
      <w:r>
        <w:rPr>
          <w:rFonts w:hint="eastAsia"/>
          <w:color w:val="auto"/>
          <w:highlight w:val="none"/>
        </w:rPr>
        <w:t>价成交法。</w:t>
      </w:r>
    </w:p>
    <w:p w14:paraId="6FFE9EB9">
      <w:pPr>
        <w:numPr>
          <w:ilvl w:val="0"/>
          <w:numId w:val="3"/>
        </w:numPr>
        <w:spacing w:line="360" w:lineRule="auto"/>
        <w:ind w:left="0" w:leftChars="0" w:firstLine="400" w:firstLineChars="0"/>
        <w:rPr>
          <w:highlight w:val="none"/>
        </w:rPr>
      </w:pPr>
      <w:r>
        <w:rPr>
          <w:rFonts w:hint="eastAsia"/>
          <w:highlight w:val="none"/>
        </w:rPr>
        <w:t>报价限制</w:t>
      </w:r>
      <w:r>
        <w:rPr>
          <w:rFonts w:hint="eastAsia"/>
          <w:highlight w:val="none"/>
          <w:lang w:eastAsia="zh-CN"/>
        </w:rPr>
        <w:t>：</w:t>
      </w:r>
      <w:r>
        <w:rPr>
          <w:rFonts w:hint="eastAsia"/>
          <w:highlight w:val="none"/>
          <w:lang w:val="en-US" w:eastAsia="zh-CN"/>
        </w:rPr>
        <w:t>低于自己的前一次报价</w:t>
      </w:r>
      <w:r>
        <w:rPr>
          <w:rFonts w:hint="eastAsia"/>
          <w:highlight w:val="none"/>
          <w:lang w:eastAsia="zh-CN"/>
        </w:rPr>
        <w:t>。</w:t>
      </w:r>
    </w:p>
    <w:p w14:paraId="49382824">
      <w:pPr>
        <w:numPr>
          <w:ilvl w:val="0"/>
          <w:numId w:val="3"/>
        </w:numPr>
        <w:spacing w:line="360" w:lineRule="auto"/>
        <w:ind w:left="0" w:leftChars="0" w:firstLine="400" w:firstLineChars="0"/>
        <w:rPr>
          <w:highlight w:val="none"/>
        </w:rPr>
      </w:pPr>
      <w:r>
        <w:rPr>
          <w:rFonts w:hint="eastAsia"/>
          <w:highlight w:val="none"/>
        </w:rPr>
        <w:t>是否显示最</w:t>
      </w:r>
      <w:r>
        <w:rPr>
          <w:rFonts w:hint="eastAsia"/>
          <w:highlight w:val="none"/>
          <w:lang w:val="en-US" w:eastAsia="zh-CN"/>
        </w:rPr>
        <w:t>低</w:t>
      </w:r>
      <w:r>
        <w:rPr>
          <w:rFonts w:hint="eastAsia"/>
          <w:highlight w:val="none"/>
        </w:rPr>
        <w:t>价</w:t>
      </w:r>
      <w:r>
        <w:rPr>
          <w:rFonts w:hint="eastAsia"/>
          <w:highlight w:val="none"/>
          <w:lang w:eastAsia="zh-CN"/>
        </w:rPr>
        <w:t>：供应商</w:t>
      </w:r>
      <w:r>
        <w:rPr>
          <w:rFonts w:hint="eastAsia"/>
          <w:highlight w:val="none"/>
          <w:lang w:val="en-US" w:eastAsia="zh-CN"/>
        </w:rPr>
        <w:t>不</w:t>
      </w:r>
      <w:r>
        <w:rPr>
          <w:rFonts w:hint="eastAsia"/>
          <w:highlight w:val="none"/>
          <w:lang w:eastAsia="zh-CN"/>
        </w:rPr>
        <w:t>可查看最</w:t>
      </w:r>
      <w:r>
        <w:rPr>
          <w:rFonts w:hint="eastAsia"/>
          <w:highlight w:val="none"/>
          <w:lang w:val="en-US" w:eastAsia="zh-CN"/>
        </w:rPr>
        <w:t>低</w:t>
      </w:r>
      <w:r>
        <w:rPr>
          <w:rFonts w:hint="eastAsia"/>
          <w:highlight w:val="none"/>
          <w:lang w:eastAsia="zh-CN"/>
        </w:rPr>
        <w:t>报价。</w:t>
      </w:r>
    </w:p>
    <w:p w14:paraId="68B55C90">
      <w:pPr>
        <w:numPr>
          <w:ilvl w:val="0"/>
          <w:numId w:val="3"/>
        </w:numPr>
        <w:spacing w:line="360" w:lineRule="auto"/>
        <w:ind w:left="0" w:leftChars="0" w:firstLine="400" w:firstLineChars="0"/>
        <w:rPr>
          <w:highlight w:val="none"/>
        </w:rPr>
      </w:pPr>
      <w:r>
        <w:rPr>
          <w:rFonts w:hint="eastAsia"/>
          <w:b/>
          <w:bCs/>
          <w:highlight w:val="none"/>
        </w:rPr>
        <w:t>注意:请使用Google Chrome浏览器! 如使用其他浏览器可能会导致无法实时接收最新的报价数据，由此产生的后果请自行承担</w:t>
      </w:r>
      <w:r>
        <w:rPr>
          <w:rFonts w:hint="eastAsia"/>
          <w:b/>
          <w:bCs/>
          <w:highlight w:val="none"/>
          <w:lang w:eastAsia="zh-CN"/>
        </w:rPr>
        <w:t>。</w:t>
      </w:r>
    </w:p>
    <w:p w14:paraId="654EEF0F">
      <w:pPr>
        <w:numPr>
          <w:ilvl w:val="0"/>
          <w:numId w:val="3"/>
        </w:numPr>
        <w:spacing w:line="360" w:lineRule="auto"/>
        <w:ind w:left="0" w:leftChars="0" w:firstLine="400" w:firstLineChars="0"/>
        <w:rPr>
          <w:highlight w:val="none"/>
        </w:rPr>
      </w:pPr>
      <w:r>
        <w:rPr>
          <w:rFonts w:hint="eastAsia"/>
          <w:color w:val="auto"/>
          <w:highlight w:val="none"/>
        </w:rPr>
        <w:t>竞价人原则上需在异地竞价，如需竞价流程技术支撑，需提前向采购代理申请，竞价开始前自带电脑到采购代理竞价会议室独自进行竞价。</w:t>
      </w:r>
    </w:p>
    <w:p w14:paraId="257D28B5">
      <w:pPr>
        <w:numPr>
          <w:ilvl w:val="0"/>
          <w:numId w:val="3"/>
        </w:numPr>
        <w:spacing w:line="360" w:lineRule="auto"/>
        <w:ind w:left="0" w:leftChars="0" w:firstLine="400" w:firstLineChars="0"/>
        <w:rPr>
          <w:highlight w:val="none"/>
        </w:rPr>
      </w:pPr>
      <w:r>
        <w:rPr>
          <w:rFonts w:hint="eastAsia"/>
          <w:highlight w:val="none"/>
        </w:rPr>
        <w:t>各竞价人要在竞价结束后2个工作日内提交</w:t>
      </w:r>
      <w:r>
        <w:rPr>
          <w:rFonts w:hint="eastAsia"/>
          <w:highlight w:val="none"/>
          <w:lang w:val="en-US" w:eastAsia="zh-CN"/>
        </w:rPr>
        <w:t>与上传系统的电子报价文件一致的</w:t>
      </w:r>
      <w:r>
        <w:rPr>
          <w:rFonts w:hint="eastAsia"/>
          <w:highlight w:val="none"/>
        </w:rPr>
        <w:t>全部纸质版报价文件</w:t>
      </w:r>
      <w:r>
        <w:rPr>
          <w:rFonts w:hint="eastAsia"/>
          <w:highlight w:val="none"/>
          <w:lang w:val="en-US" w:eastAsia="zh-CN"/>
        </w:rPr>
        <w:t>一份</w:t>
      </w:r>
      <w:r>
        <w:rPr>
          <w:rFonts w:hint="eastAsia"/>
          <w:highlight w:val="none"/>
        </w:rPr>
        <w:t>，用于存档。提交的纸质文件可采用邮寄方式，邮寄地址及联系人：广州市越秀区环市中路316号金鹰大厦</w:t>
      </w:r>
      <w:r>
        <w:rPr>
          <w:rFonts w:hint="eastAsia"/>
          <w:highlight w:val="none"/>
          <w:lang w:val="en-US" w:eastAsia="zh-CN"/>
        </w:rPr>
        <w:t>9</w:t>
      </w:r>
      <w:r>
        <w:rPr>
          <w:rFonts w:hint="eastAsia"/>
          <w:highlight w:val="none"/>
        </w:rPr>
        <w:t>楼</w:t>
      </w:r>
      <w:r>
        <w:rPr>
          <w:rFonts w:hint="eastAsia"/>
          <w:highlight w:val="none"/>
          <w:lang w:val="en-US" w:eastAsia="zh-CN"/>
        </w:rPr>
        <w:t>925</w:t>
      </w:r>
      <w:r>
        <w:rPr>
          <w:rFonts w:hint="eastAsia"/>
          <w:highlight w:val="none"/>
        </w:rPr>
        <w:t>室，李子元，</w:t>
      </w:r>
      <w:r>
        <w:rPr>
          <w:rFonts w:hint="eastAsia"/>
          <w:highlight w:val="none"/>
          <w:lang w:val="en-US" w:eastAsia="zh-CN"/>
        </w:rPr>
        <w:t>020-83541707</w:t>
      </w:r>
      <w:r>
        <w:rPr>
          <w:rFonts w:hint="eastAsia"/>
          <w:highlight w:val="none"/>
        </w:rPr>
        <w:t>。</w:t>
      </w:r>
    </w:p>
    <w:p w14:paraId="09EDB152">
      <w:pPr>
        <w:numPr>
          <w:ilvl w:val="0"/>
          <w:numId w:val="2"/>
        </w:numPr>
        <w:spacing w:line="360" w:lineRule="auto"/>
        <w:rPr>
          <w:b/>
          <w:bCs/>
          <w:color w:val="auto"/>
          <w:highlight w:val="none"/>
        </w:rPr>
      </w:pPr>
      <w:r>
        <w:rPr>
          <w:rFonts w:hint="eastAsia"/>
          <w:b/>
          <w:bCs/>
          <w:color w:val="auto"/>
          <w:highlight w:val="none"/>
        </w:rPr>
        <w:t>竞价保证金</w:t>
      </w:r>
    </w:p>
    <w:p w14:paraId="6E9BA433">
      <w:pPr>
        <w:numPr>
          <w:ilvl w:val="0"/>
          <w:numId w:val="5"/>
        </w:numPr>
        <w:spacing w:line="360" w:lineRule="auto"/>
        <w:ind w:left="420"/>
        <w:rPr>
          <w:color w:val="auto"/>
          <w:highlight w:val="none"/>
        </w:rPr>
      </w:pPr>
      <w:r>
        <w:rPr>
          <w:rFonts w:hint="eastAsia"/>
          <w:color w:val="auto"/>
          <w:highlight w:val="none"/>
        </w:rPr>
        <w:t>金额：</w:t>
      </w:r>
      <w:r>
        <w:rPr>
          <w:rFonts w:hint="eastAsia"/>
          <w:color w:val="auto"/>
          <w:highlight w:val="none"/>
          <w:lang w:val="en-US" w:eastAsia="zh-CN"/>
        </w:rPr>
        <w:t>0</w:t>
      </w:r>
      <w:r>
        <w:rPr>
          <w:rFonts w:hint="eastAsia"/>
          <w:color w:val="auto"/>
          <w:highlight w:val="none"/>
        </w:rPr>
        <w:t>元。</w:t>
      </w:r>
    </w:p>
    <w:p w14:paraId="110E356B">
      <w:pPr>
        <w:numPr>
          <w:ilvl w:val="0"/>
          <w:numId w:val="5"/>
        </w:numPr>
        <w:spacing w:line="360" w:lineRule="auto"/>
        <w:ind w:left="420"/>
        <w:rPr>
          <w:color w:val="auto"/>
          <w:highlight w:val="none"/>
        </w:rPr>
      </w:pPr>
      <w:r>
        <w:rPr>
          <w:rFonts w:hint="eastAsia"/>
          <w:color w:val="auto"/>
          <w:highlight w:val="none"/>
        </w:rPr>
        <w:t>缴纳时间：竞价开始时间前到账。</w:t>
      </w:r>
    </w:p>
    <w:p w14:paraId="14593DA8">
      <w:pPr>
        <w:numPr>
          <w:ilvl w:val="0"/>
          <w:numId w:val="5"/>
        </w:numPr>
        <w:spacing w:line="360" w:lineRule="auto"/>
        <w:ind w:left="420"/>
        <w:rPr>
          <w:color w:val="auto"/>
          <w:highlight w:val="none"/>
        </w:rPr>
      </w:pPr>
      <w:r>
        <w:rPr>
          <w:rFonts w:hint="eastAsia"/>
          <w:color w:val="auto"/>
          <w:highlight w:val="none"/>
        </w:rPr>
        <w:t>缴纳方式：以转账或者金融机构、担保机构出具的保函等非现金形式提交。</w:t>
      </w:r>
    </w:p>
    <w:p w14:paraId="398B22A9">
      <w:pPr>
        <w:spacing w:line="360" w:lineRule="auto"/>
        <w:ind w:firstLine="420" w:firstLineChars="200"/>
        <w:rPr>
          <w:color w:val="auto"/>
          <w:highlight w:val="none"/>
        </w:rPr>
      </w:pPr>
      <w:r>
        <w:rPr>
          <w:rFonts w:hint="eastAsia"/>
          <w:color w:val="auto"/>
          <w:highlight w:val="none"/>
        </w:rPr>
        <w:t>投标保证金转账以子账号方式缴纳投标保证金：</w:t>
      </w:r>
    </w:p>
    <w:p w14:paraId="3E1B76C0">
      <w:pPr>
        <w:spacing w:line="360" w:lineRule="auto"/>
        <w:ind w:firstLine="420" w:firstLineChars="200"/>
        <w:rPr>
          <w:color w:val="auto"/>
          <w:highlight w:val="none"/>
        </w:rPr>
      </w:pPr>
      <w:r>
        <w:rPr>
          <w:rFonts w:hint="eastAsia"/>
          <w:color w:val="auto"/>
          <w:highlight w:val="none"/>
          <w:lang w:eastAsia="zh-CN"/>
        </w:rPr>
        <w:t>供应商</w:t>
      </w:r>
      <w:r>
        <w:rPr>
          <w:rFonts w:hint="eastAsia"/>
          <w:color w:val="auto"/>
          <w:highlight w:val="none"/>
        </w:rPr>
        <w:t>网上投标登记成功后，应登录广咨电子招投标交易平台网站（www.gzebid.cn）并选择对应项目获取缴纳投标保证金的子账号（每位供应商每个项目的保证金缴纳账户是唯一的，该账号是针对每位供应商随机生成的专属账号）。</w:t>
      </w:r>
    </w:p>
    <w:p w14:paraId="0766771F">
      <w:pPr>
        <w:spacing w:line="360" w:lineRule="auto"/>
        <w:ind w:firstLine="420" w:firstLineChars="200"/>
        <w:rPr>
          <w:color w:val="auto"/>
          <w:highlight w:val="none"/>
        </w:rPr>
      </w:pPr>
      <w:r>
        <w:rPr>
          <w:rFonts w:hint="eastAsia"/>
          <w:color w:val="auto"/>
          <w:highlight w:val="none"/>
        </w:rPr>
        <w:t>注意：</w:t>
      </w:r>
    </w:p>
    <w:p w14:paraId="5D894370">
      <w:pPr>
        <w:spacing w:line="360" w:lineRule="auto"/>
        <w:ind w:firstLine="420" w:firstLineChars="200"/>
        <w:rPr>
          <w:color w:val="auto"/>
          <w:highlight w:val="none"/>
        </w:rPr>
      </w:pPr>
      <w:r>
        <w:rPr>
          <w:rFonts w:hint="eastAsia"/>
          <w:color w:val="auto"/>
          <w:highlight w:val="none"/>
        </w:rPr>
        <w:t>1）保证金应从供应商在本平台注册的基本户中支付，并以资金到达该子账号的时间为准，如从其他账户、或未缴纳到指定的子账号，视为无效投标保证金。</w:t>
      </w:r>
    </w:p>
    <w:p w14:paraId="7F45F3A9">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供应商</w:t>
      </w:r>
      <w:r>
        <w:rPr>
          <w:rFonts w:hint="eastAsia"/>
          <w:color w:val="auto"/>
          <w:highlight w:val="none"/>
        </w:rPr>
        <w:t>严禁采用EFT 系统（广东金融结算系统）方式缴纳投标保证，如采用此方式导致招投标系统无法识别缴纳账号信息的，由此造成的不良后果由供应商自行承担责任。</w:t>
      </w:r>
    </w:p>
    <w:p w14:paraId="5A3A7030">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供应商</w:t>
      </w:r>
      <w:r>
        <w:rPr>
          <w:rFonts w:hint="eastAsia"/>
          <w:color w:val="auto"/>
          <w:highlight w:val="none"/>
        </w:rPr>
        <w:t>在缴纳投标保证金时请在用途一栏注明该款项所属项目的项目名称或项目编号。</w:t>
      </w:r>
    </w:p>
    <w:p w14:paraId="3EE268ED">
      <w:pPr>
        <w:numPr>
          <w:ilvl w:val="0"/>
          <w:numId w:val="2"/>
        </w:numPr>
        <w:spacing w:line="360" w:lineRule="auto"/>
        <w:rPr>
          <w:b/>
          <w:bCs/>
          <w:color w:val="auto"/>
          <w:highlight w:val="none"/>
        </w:rPr>
      </w:pPr>
      <w:r>
        <w:rPr>
          <w:rFonts w:hint="eastAsia"/>
          <w:b/>
          <w:bCs/>
          <w:color w:val="auto"/>
          <w:highlight w:val="none"/>
        </w:rPr>
        <w:t>发布公告的媒介</w:t>
      </w:r>
    </w:p>
    <w:p w14:paraId="5B1C2ACB">
      <w:pPr>
        <w:spacing w:line="360" w:lineRule="auto"/>
        <w:ind w:firstLine="420" w:firstLineChars="200"/>
        <w:rPr>
          <w:color w:val="auto"/>
          <w:highlight w:val="none"/>
        </w:rPr>
      </w:pPr>
      <w:r>
        <w:rPr>
          <w:rFonts w:hint="eastAsia"/>
          <w:color w:val="auto"/>
          <w:highlight w:val="none"/>
        </w:rPr>
        <w:t>本次公告在广咨电子招投标交易平台（</w:t>
      </w:r>
      <w:r>
        <w:rPr>
          <w:rFonts w:hint="eastAsia"/>
          <w:color w:val="auto"/>
          <w:highlight w:val="none"/>
          <w:lang w:eastAsia="zh-CN"/>
        </w:rPr>
        <w:t>new.gzebid.cn</w:t>
      </w:r>
      <w:r>
        <w:rPr>
          <w:rFonts w:hint="eastAsia"/>
          <w:color w:val="auto"/>
          <w:highlight w:val="none"/>
        </w:rPr>
        <w:t>）发布，其他媒体转载无效。</w:t>
      </w:r>
    </w:p>
    <w:p w14:paraId="35F2627C">
      <w:pPr>
        <w:numPr>
          <w:ilvl w:val="0"/>
          <w:numId w:val="2"/>
        </w:numPr>
        <w:spacing w:line="360" w:lineRule="auto"/>
        <w:rPr>
          <w:b/>
          <w:bCs/>
          <w:color w:val="auto"/>
          <w:highlight w:val="none"/>
        </w:rPr>
      </w:pPr>
      <w:r>
        <w:rPr>
          <w:rFonts w:hint="eastAsia"/>
          <w:b/>
          <w:bCs/>
          <w:color w:val="auto"/>
          <w:highlight w:val="none"/>
        </w:rPr>
        <w:t>联系方式</w:t>
      </w:r>
    </w:p>
    <w:p w14:paraId="67783A49">
      <w:pPr>
        <w:pStyle w:val="38"/>
        <w:widowControl/>
        <w:spacing w:line="360" w:lineRule="auto"/>
        <w:ind w:left="420" w:firstLine="0" w:firstLineChars="0"/>
        <w:jc w:val="left"/>
        <w:rPr>
          <w:rFonts w:asciiTheme="minorEastAsia" w:hAnsiTheme="minorEastAsia"/>
          <w:color w:val="auto"/>
          <w:highlight w:val="none"/>
        </w:rPr>
      </w:pPr>
      <w:r>
        <w:rPr>
          <w:rFonts w:hint="eastAsia" w:asciiTheme="minorEastAsia" w:hAnsiTheme="minorEastAsia"/>
          <w:color w:val="auto"/>
          <w:highlight w:val="none"/>
        </w:rPr>
        <w:t>采购代理机构：广东省机电设备招标有限公司</w:t>
      </w:r>
    </w:p>
    <w:p w14:paraId="3B70E9F1">
      <w:pPr>
        <w:pStyle w:val="38"/>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联系人：</w:t>
      </w:r>
      <w:r>
        <w:rPr>
          <w:rFonts w:hint="eastAsia" w:asciiTheme="minorEastAsia" w:hAnsiTheme="minorEastAsia"/>
          <w:color w:val="auto"/>
          <w:highlight w:val="none"/>
          <w:lang w:val="en-US" w:eastAsia="zh-CN"/>
        </w:rPr>
        <w:t>李子元、严梁立、王宇</w:t>
      </w:r>
    </w:p>
    <w:p w14:paraId="6DA469FF">
      <w:pPr>
        <w:pStyle w:val="38"/>
        <w:widowControl/>
        <w:spacing w:line="360" w:lineRule="auto"/>
        <w:ind w:left="420" w:firstLine="0" w:firstLineChars="0"/>
        <w:jc w:val="left"/>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rPr>
        <w:t>联系电话：020-8354</w:t>
      </w:r>
      <w:r>
        <w:rPr>
          <w:rFonts w:hint="eastAsia" w:asciiTheme="minorEastAsia" w:hAnsiTheme="minorEastAsia"/>
          <w:color w:val="auto"/>
          <w:highlight w:val="none"/>
          <w:lang w:val="en-US" w:eastAsia="zh-CN"/>
        </w:rPr>
        <w:t>1707</w:t>
      </w:r>
    </w:p>
    <w:p w14:paraId="5FA00084">
      <w:pPr>
        <w:jc w:val="left"/>
        <w:outlineLvl w:val="9"/>
        <w:rPr>
          <w:rFonts w:hint="eastAsia" w:ascii="宋体" w:hAnsi="宋体"/>
          <w:b/>
          <w:bCs/>
          <w:color w:val="auto"/>
          <w:kern w:val="0"/>
          <w:sz w:val="32"/>
          <w:szCs w:val="32"/>
          <w:highlight w:val="none"/>
        </w:rPr>
      </w:pPr>
      <w:r>
        <w:rPr>
          <w:rFonts w:hint="eastAsia" w:asciiTheme="minorEastAsia" w:hAnsiTheme="minorEastAsia"/>
          <w:color w:val="auto"/>
          <w:highlight w:val="none"/>
        </w:rPr>
        <w:t>邮箱：</w:t>
      </w:r>
      <w:r>
        <w:rPr>
          <w:rFonts w:hint="eastAsia" w:asciiTheme="minorEastAsia" w:hAnsiTheme="minorEastAsia"/>
          <w:color w:val="auto"/>
          <w:highlight w:val="none"/>
          <w:lang w:val="en-US" w:eastAsia="zh-CN"/>
        </w:rPr>
        <w:t>zbgs6b</w:t>
      </w:r>
      <w:r>
        <w:rPr>
          <w:rFonts w:hint="eastAsia" w:asciiTheme="minorEastAsia" w:hAnsiTheme="minorEastAsia"/>
          <w:color w:val="auto"/>
          <w:highlight w:val="none"/>
        </w:rPr>
        <w:t>@126.com</w:t>
      </w:r>
      <w:r>
        <w:rPr>
          <w:rFonts w:hint="eastAsia" w:ascii="宋体" w:hAnsi="宋体"/>
          <w:b/>
          <w:bCs/>
          <w:color w:val="auto"/>
          <w:kern w:val="0"/>
          <w:sz w:val="32"/>
          <w:szCs w:val="32"/>
          <w:highlight w:val="none"/>
        </w:rPr>
        <w:br w:type="page"/>
      </w:r>
    </w:p>
    <w:p w14:paraId="6472103D">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二</w:t>
      </w:r>
      <w:r>
        <w:rPr>
          <w:rFonts w:hint="eastAsia" w:ascii="宋体" w:hAnsi="宋体"/>
          <w:b/>
          <w:bCs/>
          <w:color w:val="auto"/>
          <w:kern w:val="0"/>
          <w:sz w:val="32"/>
          <w:szCs w:val="32"/>
          <w:highlight w:val="none"/>
        </w:rPr>
        <w:t>章 竞价须知</w:t>
      </w:r>
    </w:p>
    <w:p w14:paraId="39AB06A6">
      <w:pPr>
        <w:pStyle w:val="38"/>
        <w:numPr>
          <w:ilvl w:val="0"/>
          <w:numId w:val="6"/>
        </w:numPr>
        <w:spacing w:line="360" w:lineRule="auto"/>
        <w:ind w:firstLineChars="0"/>
        <w:rPr>
          <w:rFonts w:ascii="宋体" w:hAnsi="宋体"/>
          <w:color w:val="auto"/>
          <w:highlight w:val="none"/>
        </w:rPr>
      </w:pPr>
      <w:r>
        <w:rPr>
          <w:rFonts w:hint="eastAsia" w:ascii="宋体" w:hAnsi="宋体"/>
          <w:color w:val="auto"/>
          <w:szCs w:val="21"/>
          <w:highlight w:val="none"/>
        </w:rPr>
        <w:t>本项目通过</w:t>
      </w:r>
      <w:r>
        <w:rPr>
          <w:rFonts w:hint="eastAsia" w:ascii="宋体" w:hAnsi="宋体"/>
          <w:color w:val="auto"/>
          <w:szCs w:val="21"/>
          <w:highlight w:val="none"/>
          <w:lang w:eastAsia="zh-CN"/>
        </w:rPr>
        <w:t>广咨电子招投标交易平台</w:t>
      </w:r>
      <w:r>
        <w:rPr>
          <w:rFonts w:hint="eastAsia" w:ascii="宋体" w:hAnsi="宋体"/>
          <w:color w:val="auto"/>
          <w:szCs w:val="21"/>
          <w:highlight w:val="none"/>
        </w:rPr>
        <w:t>线上采购一体化平台进行竞价，参与竞价的供应商必须登录平台进行注册，注册成功后方可参与项目竞价。</w:t>
      </w:r>
    </w:p>
    <w:p w14:paraId="4E72E210">
      <w:pPr>
        <w:pStyle w:val="38"/>
        <w:numPr>
          <w:ilvl w:val="0"/>
          <w:numId w:val="6"/>
        </w:numPr>
        <w:spacing w:line="360" w:lineRule="auto"/>
        <w:ind w:firstLineChars="0"/>
        <w:rPr>
          <w:rFonts w:ascii="宋体" w:hAnsi="宋体"/>
          <w:color w:val="auto"/>
          <w:highlight w:val="none"/>
        </w:rPr>
      </w:pPr>
      <w:r>
        <w:rPr>
          <w:rFonts w:ascii="宋体" w:hAnsi="宋体"/>
          <w:color w:val="auto"/>
          <w:highlight w:val="none"/>
        </w:rPr>
        <w:t>语言要求</w:t>
      </w:r>
    </w:p>
    <w:p w14:paraId="148E9A2C">
      <w:pPr>
        <w:spacing w:line="360" w:lineRule="auto"/>
        <w:ind w:left="420" w:leftChars="200" w:firstLine="210" w:firstLineChars="1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7D4830A">
      <w:pPr>
        <w:spacing w:line="360" w:lineRule="auto"/>
        <w:ind w:firstLine="0"/>
        <w:rPr>
          <w:rFonts w:ascii="宋体" w:hAnsi="宋体"/>
          <w:color w:val="auto"/>
          <w:highlight w:val="none"/>
        </w:rPr>
      </w:pPr>
      <w:r>
        <w:rPr>
          <w:rFonts w:hint="eastAsia" w:ascii="宋体" w:hAnsi="宋体"/>
          <w:color w:val="auto"/>
          <w:highlight w:val="none"/>
        </w:rPr>
        <w:t>三、在</w:t>
      </w:r>
      <w:r>
        <w:rPr>
          <w:rFonts w:hint="eastAsia" w:ascii="宋体" w:hAnsi="宋体"/>
          <w:color w:val="auto"/>
          <w:highlight w:val="none"/>
          <w:lang w:eastAsia="zh-CN"/>
        </w:rPr>
        <w:t>广咨电子招投标交易平台</w:t>
      </w:r>
      <w:r>
        <w:rPr>
          <w:rFonts w:hint="eastAsia" w:ascii="宋体" w:hAnsi="宋体"/>
          <w:color w:val="auto"/>
          <w:highlight w:val="none"/>
        </w:rPr>
        <w:t>平台参与项目竞价后放弃成交资格超过三次（含三次）的供应商连同该供应商同一法人名下所有公司将被列入平台黑名单，永久不得参与平台的项目竞价。</w:t>
      </w:r>
    </w:p>
    <w:p w14:paraId="07418343">
      <w:pPr>
        <w:pStyle w:val="38"/>
        <w:spacing w:line="360" w:lineRule="auto"/>
        <w:ind w:firstLine="0" w:firstLineChars="0"/>
        <w:rPr>
          <w:rFonts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、竞价须知</w:t>
      </w:r>
    </w:p>
    <w:p w14:paraId="52DFCF0F">
      <w:pPr>
        <w:pStyle w:val="38"/>
        <w:numPr>
          <w:ilvl w:val="0"/>
          <w:numId w:val="7"/>
        </w:numPr>
        <w:spacing w:line="360" w:lineRule="auto"/>
        <w:ind w:firstLineChars="0"/>
        <w:rPr>
          <w:rFonts w:ascii="宋体" w:hAnsi="宋体"/>
          <w:b/>
          <w:color w:val="auto"/>
          <w:highlight w:val="none"/>
        </w:rPr>
      </w:pPr>
      <w:r>
        <w:rPr>
          <w:rStyle w:val="26"/>
          <w:rFonts w:hint="eastAsia" w:ascii="宋体" w:hAnsi="宋体"/>
          <w:color w:val="auto"/>
          <w:highlight w:val="none"/>
        </w:rPr>
        <w:t>竞价说明</w:t>
      </w:r>
    </w:p>
    <w:p w14:paraId="54F86F36">
      <w:pPr>
        <w:pStyle w:val="38"/>
        <w:numPr>
          <w:ilvl w:val="0"/>
          <w:numId w:val="8"/>
        </w:numPr>
        <w:tabs>
          <w:tab w:val="left" w:pos="851"/>
        </w:tabs>
        <w:spacing w:line="360" w:lineRule="auto"/>
        <w:ind w:firstLineChars="0"/>
        <w:rPr>
          <w:rFonts w:ascii="宋体" w:hAnsi="宋体"/>
          <w:color w:val="auto"/>
          <w:highlight w:val="none"/>
        </w:rPr>
      </w:pPr>
      <w:r>
        <w:rPr>
          <w:rFonts w:hint="eastAsia" w:ascii="宋体" w:hAnsi="宋体"/>
          <w:color w:val="auto"/>
          <w:szCs w:val="21"/>
          <w:highlight w:val="none"/>
        </w:rPr>
        <w:t>参与竞价的供应商应承担所有与准备和参加竞价有关的费用，不</w:t>
      </w:r>
      <w:r>
        <w:rPr>
          <w:rFonts w:hint="eastAsia" w:ascii="宋体" w:hAnsi="宋体"/>
          <w:color w:val="auto"/>
          <w:szCs w:val="21"/>
          <w:highlight w:val="none"/>
          <w:lang w:eastAsia="zh-TW"/>
        </w:rPr>
        <w:t>论</w:t>
      </w:r>
      <w:r>
        <w:rPr>
          <w:rFonts w:hint="eastAsia" w:ascii="宋体" w:hAnsi="宋体"/>
          <w:color w:val="auto"/>
          <w:szCs w:val="21"/>
          <w:highlight w:val="none"/>
        </w:rPr>
        <w:t>竞价</w:t>
      </w:r>
      <w:r>
        <w:rPr>
          <w:rFonts w:hint="eastAsia" w:ascii="宋体" w:hAnsi="宋体"/>
          <w:color w:val="auto"/>
          <w:szCs w:val="21"/>
          <w:highlight w:val="none"/>
          <w:lang w:eastAsia="zh-TW"/>
        </w:rPr>
        <w:t>的结果如何</w:t>
      </w:r>
      <w:r>
        <w:rPr>
          <w:rFonts w:hint="eastAsia" w:ascii="宋体" w:hAnsi="宋体"/>
          <w:color w:val="auto"/>
          <w:szCs w:val="21"/>
          <w:highlight w:val="none"/>
        </w:rPr>
        <w:t>，采购</w:t>
      </w:r>
      <w:r>
        <w:rPr>
          <w:rFonts w:hint="eastAsia" w:ascii="宋体" w:hAnsi="宋体"/>
          <w:color w:val="auto"/>
          <w:szCs w:val="21"/>
          <w:highlight w:val="none"/>
          <w:lang w:eastAsia="zh-TW"/>
        </w:rPr>
        <w:t>人</w:t>
      </w:r>
      <w:r>
        <w:rPr>
          <w:rFonts w:hint="eastAsia" w:ascii="宋体" w:hAnsi="宋体"/>
          <w:color w:val="auto"/>
          <w:szCs w:val="21"/>
          <w:highlight w:val="none"/>
        </w:rPr>
        <w:t>和</w:t>
      </w:r>
      <w:r>
        <w:rPr>
          <w:rFonts w:hint="eastAsia" w:ascii="宋体" w:hAnsi="宋体"/>
          <w:color w:val="auto"/>
          <w:szCs w:val="21"/>
          <w:highlight w:val="none"/>
          <w:lang w:eastAsia="zh-TW"/>
        </w:rPr>
        <w:t>代理机构均无义务和责任承担这些费用</w:t>
      </w:r>
      <w:r>
        <w:rPr>
          <w:rFonts w:hint="eastAsia" w:ascii="宋体" w:hAnsi="宋体"/>
          <w:color w:val="auto"/>
          <w:szCs w:val="21"/>
          <w:highlight w:val="none"/>
        </w:rPr>
        <w:t>。</w:t>
      </w:r>
    </w:p>
    <w:p w14:paraId="2DC99CBC">
      <w:pPr>
        <w:pStyle w:val="38"/>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14:paraId="1F20AD58">
      <w:pPr>
        <w:pStyle w:val="38"/>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val="zh-CN"/>
        </w:rPr>
        <w:t>供应商需对用户需求书的所有条款进行整体响应，用户需求书条款若有一条负偏离或不响应，</w:t>
      </w:r>
      <w:r>
        <w:rPr>
          <w:rFonts w:hint="eastAsia" w:ascii="宋体" w:hAnsi="宋体"/>
          <w:bCs/>
          <w:color w:val="auto"/>
          <w:szCs w:val="21"/>
          <w:highlight w:val="none"/>
        </w:rPr>
        <w:t>不推荐为成交候选人</w:t>
      </w:r>
      <w:r>
        <w:rPr>
          <w:rFonts w:hint="eastAsia" w:ascii="宋体" w:hAnsi="宋体"/>
          <w:color w:val="auto"/>
          <w:szCs w:val="21"/>
          <w:highlight w:val="none"/>
          <w:lang w:val="zh-CN"/>
        </w:rPr>
        <w:t>。</w:t>
      </w:r>
    </w:p>
    <w:p w14:paraId="5A3ACDB5">
      <w:pPr>
        <w:pStyle w:val="38"/>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若成交供应商自身原因无法完成本项目，则采购人有权利保留追究责任。</w:t>
      </w:r>
    </w:p>
    <w:p w14:paraId="248D0220">
      <w:pPr>
        <w:pStyle w:val="38"/>
        <w:numPr>
          <w:ilvl w:val="0"/>
          <w:numId w:val="8"/>
        </w:numPr>
        <w:spacing w:line="360" w:lineRule="auto"/>
        <w:ind w:firstLineChars="0"/>
        <w:rPr>
          <w:rFonts w:ascii="宋体" w:hAnsi="宋体"/>
          <w:color w:val="auto"/>
          <w:highlight w:val="none"/>
        </w:rPr>
      </w:pPr>
      <w:r>
        <w:rPr>
          <w:rFonts w:hint="eastAsia" w:ascii="宋体" w:hAnsi="宋体"/>
          <w:color w:val="auto"/>
          <w:highlight w:val="none"/>
        </w:rPr>
        <w:t>成交供应商因自身原因被取消成交资格，采购人可重新启动采购或按</w:t>
      </w:r>
      <w:r>
        <w:rPr>
          <w:rFonts w:hint="eastAsia" w:ascii="宋体" w:hAnsi="宋体"/>
          <w:color w:val="auto"/>
          <w:highlight w:val="none"/>
          <w:lang w:eastAsia="zh-CN"/>
        </w:rPr>
        <w:t>竞价邀请函</w:t>
      </w:r>
      <w:r>
        <w:rPr>
          <w:rFonts w:hint="eastAsia" w:ascii="宋体" w:hAnsi="宋体"/>
          <w:color w:val="auto"/>
          <w:highlight w:val="none"/>
        </w:rPr>
        <w:t>规定顺延推选符合要求的供应商作为成交人。</w:t>
      </w:r>
    </w:p>
    <w:p w14:paraId="75AFE815">
      <w:pPr>
        <w:pStyle w:val="38"/>
        <w:numPr>
          <w:ilvl w:val="0"/>
          <w:numId w:val="8"/>
        </w:numPr>
        <w:spacing w:line="360" w:lineRule="auto"/>
        <w:ind w:firstLineChars="0"/>
        <w:rPr>
          <w:rFonts w:ascii="宋体" w:hAnsi="宋体"/>
          <w:color w:val="auto"/>
          <w:highlight w:val="none"/>
        </w:rPr>
      </w:pPr>
      <w:r>
        <w:rPr>
          <w:rFonts w:hint="eastAsia" w:ascii="宋体" w:hAnsi="宋体"/>
          <w:color w:val="auto"/>
          <w:highlight w:val="none"/>
        </w:rPr>
        <w:t>若本项目竞价采购失败，采购人将重新采购，届时采购人有权根据项目具体情况，决定重新采购项目的采购方式。</w:t>
      </w:r>
    </w:p>
    <w:p w14:paraId="4BEC9F9F">
      <w:pPr>
        <w:pStyle w:val="38"/>
        <w:numPr>
          <w:ilvl w:val="0"/>
          <w:numId w:val="8"/>
        </w:numPr>
        <w:spacing w:line="360" w:lineRule="auto"/>
        <w:ind w:firstLineChars="0"/>
        <w:rPr>
          <w:rFonts w:ascii="宋体" w:hAnsi="宋体"/>
          <w:color w:val="auto"/>
          <w:highlight w:val="none"/>
        </w:rPr>
      </w:pPr>
      <w:r>
        <w:rPr>
          <w:rFonts w:hint="eastAsia" w:ascii="宋体" w:hAnsi="宋体"/>
          <w:color w:val="auto"/>
          <w:highlight w:val="none"/>
        </w:rPr>
        <w:t>成交供应商若无正当理由恶意放弃成交资格，采购人有权将拒绝其参加本项目重新组织的竞价采购活动。</w:t>
      </w:r>
    </w:p>
    <w:p w14:paraId="724421A6">
      <w:pPr>
        <w:pStyle w:val="38"/>
        <w:numPr>
          <w:ilvl w:val="0"/>
          <w:numId w:val="8"/>
        </w:numPr>
        <w:spacing w:line="360" w:lineRule="auto"/>
        <w:ind w:firstLineChars="0"/>
        <w:rPr>
          <w:rFonts w:ascii="宋体" w:hAnsi="宋体"/>
          <w:color w:val="auto"/>
          <w:highlight w:val="none"/>
        </w:rPr>
      </w:pPr>
      <w:r>
        <w:rPr>
          <w:rFonts w:hint="eastAsia" w:ascii="宋体" w:hAnsi="宋体"/>
          <w:color w:val="auto"/>
          <w:highlight w:val="none"/>
        </w:rPr>
        <w:t>如采购人或代理机构在审核或复核</w:t>
      </w:r>
      <w:r>
        <w:rPr>
          <w:rFonts w:hint="eastAsia" w:ascii="宋体" w:hAnsi="宋体"/>
          <w:color w:val="auto"/>
          <w:szCs w:val="21"/>
          <w:highlight w:val="none"/>
        </w:rPr>
        <w:t>参与竞价的</w:t>
      </w:r>
      <w:r>
        <w:rPr>
          <w:rFonts w:hint="eastAsia" w:ascii="宋体" w:hAnsi="宋体"/>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14:paraId="6B41B3A5">
      <w:pPr>
        <w:pStyle w:val="38"/>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eastAsia="zh-TW"/>
        </w:rPr>
        <w:t>供应商向我司咨询的有关项目事项，一切以</w:t>
      </w:r>
      <w:r>
        <w:rPr>
          <w:rFonts w:hint="eastAsia" w:ascii="宋体" w:hAnsi="宋体"/>
          <w:color w:val="auto"/>
          <w:szCs w:val="21"/>
          <w:highlight w:val="none"/>
        </w:rPr>
        <w:t>竞价文件</w:t>
      </w:r>
      <w:r>
        <w:rPr>
          <w:rFonts w:hint="eastAsia" w:ascii="宋体" w:hAnsi="宋体"/>
          <w:color w:val="auto"/>
          <w:szCs w:val="21"/>
          <w:highlight w:val="none"/>
          <w:lang w:eastAsia="zh-TW"/>
        </w:rPr>
        <w:t>规定</w:t>
      </w:r>
      <w:r>
        <w:rPr>
          <w:rFonts w:hint="eastAsia" w:ascii="宋体" w:hAnsi="宋体"/>
          <w:color w:val="auto"/>
          <w:szCs w:val="21"/>
          <w:highlight w:val="none"/>
        </w:rPr>
        <w:t>和</w:t>
      </w:r>
      <w:r>
        <w:rPr>
          <w:rFonts w:hint="eastAsia" w:ascii="宋体" w:hAnsi="宋体"/>
          <w:color w:val="auto"/>
          <w:szCs w:val="21"/>
          <w:highlight w:val="none"/>
          <w:lang w:eastAsia="zh-CN"/>
        </w:rPr>
        <w:t>竞价邀请函</w:t>
      </w:r>
      <w:r>
        <w:rPr>
          <w:rFonts w:hint="eastAsia" w:ascii="宋体" w:hAnsi="宋体"/>
          <w:color w:val="auto"/>
          <w:szCs w:val="21"/>
          <w:highlight w:val="none"/>
        </w:rPr>
        <w:t>规定以及</w:t>
      </w:r>
      <w:r>
        <w:rPr>
          <w:rFonts w:hint="eastAsia" w:ascii="宋体" w:hAnsi="宋体"/>
          <w:color w:val="auto"/>
          <w:szCs w:val="21"/>
          <w:highlight w:val="none"/>
          <w:lang w:eastAsia="zh-TW"/>
        </w:rPr>
        <w:t>本公司</w:t>
      </w:r>
      <w:r>
        <w:rPr>
          <w:rFonts w:hint="eastAsia" w:ascii="宋体" w:hAnsi="宋体"/>
          <w:color w:val="auto"/>
          <w:szCs w:val="21"/>
          <w:highlight w:val="none"/>
        </w:rPr>
        <w:t>的</w:t>
      </w:r>
      <w:r>
        <w:rPr>
          <w:rFonts w:hint="eastAsia" w:ascii="宋体" w:hAnsi="宋体"/>
          <w:color w:val="auto"/>
          <w:szCs w:val="21"/>
          <w:highlight w:val="none"/>
          <w:lang w:eastAsia="zh-TW"/>
        </w:rPr>
        <w:t>书面答复为准，其他一切形式均为个人意见，不代表本公司的意见</w:t>
      </w:r>
      <w:r>
        <w:rPr>
          <w:rFonts w:hint="eastAsia" w:ascii="宋体" w:hAnsi="宋体"/>
          <w:color w:val="auto"/>
          <w:szCs w:val="21"/>
          <w:highlight w:val="none"/>
        </w:rPr>
        <w:t>；</w:t>
      </w:r>
    </w:p>
    <w:p w14:paraId="6D1AC4D2">
      <w:pPr>
        <w:pStyle w:val="38"/>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参与竞价的供应商应认真阅读</w:t>
      </w:r>
      <w:r>
        <w:rPr>
          <w:rFonts w:hint="eastAsia" w:ascii="宋体" w:hAnsi="宋体"/>
          <w:color w:val="auto"/>
          <w:szCs w:val="21"/>
          <w:highlight w:val="none"/>
          <w:lang w:eastAsia="zh-TW"/>
        </w:rPr>
        <w:t>、并充分理解</w:t>
      </w:r>
      <w:r>
        <w:rPr>
          <w:rFonts w:hint="eastAsia" w:ascii="宋体" w:hAnsi="宋体"/>
          <w:color w:val="auto"/>
          <w:szCs w:val="21"/>
          <w:highlight w:val="none"/>
        </w:rPr>
        <w:t>竞价</w:t>
      </w:r>
      <w:r>
        <w:rPr>
          <w:rFonts w:hint="eastAsia" w:ascii="宋体" w:hAnsi="宋体"/>
          <w:color w:val="auto"/>
          <w:szCs w:val="21"/>
          <w:highlight w:val="none"/>
          <w:lang w:eastAsia="zh-TW"/>
        </w:rPr>
        <w:t>文件的全部内容（包括所有的补充、修改内容重要事项、格式、条款</w:t>
      </w:r>
      <w:r>
        <w:rPr>
          <w:rFonts w:hint="eastAsia" w:ascii="宋体" w:hAnsi="宋体"/>
          <w:color w:val="auto"/>
          <w:szCs w:val="21"/>
          <w:highlight w:val="none"/>
        </w:rPr>
        <w:t>、服务要求</w:t>
      </w:r>
      <w:r>
        <w:rPr>
          <w:rFonts w:hint="eastAsia" w:ascii="宋体" w:hAnsi="宋体"/>
          <w:color w:val="auto"/>
          <w:szCs w:val="21"/>
          <w:highlight w:val="none"/>
          <w:lang w:eastAsia="zh-TW"/>
        </w:rPr>
        <w:t>和技术规范、参数及要求等）。</w:t>
      </w:r>
      <w:r>
        <w:rPr>
          <w:rFonts w:hint="eastAsia" w:ascii="宋体" w:hAnsi="宋体"/>
          <w:color w:val="auto"/>
          <w:szCs w:val="21"/>
          <w:highlight w:val="none"/>
        </w:rPr>
        <w:t>供应商</w:t>
      </w:r>
      <w:r>
        <w:rPr>
          <w:rFonts w:hint="eastAsia" w:ascii="宋体" w:hAnsi="宋体"/>
          <w:color w:val="auto"/>
          <w:szCs w:val="21"/>
          <w:highlight w:val="none"/>
          <w:lang w:eastAsia="zh-TW"/>
        </w:rPr>
        <w:t>没有按照</w:t>
      </w:r>
      <w:r>
        <w:rPr>
          <w:rFonts w:hint="eastAsia" w:ascii="宋体" w:hAnsi="宋体"/>
          <w:color w:val="auto"/>
          <w:szCs w:val="21"/>
          <w:highlight w:val="none"/>
        </w:rPr>
        <w:t>竞价</w:t>
      </w:r>
      <w:r>
        <w:rPr>
          <w:rFonts w:hint="eastAsia" w:ascii="宋体" w:hAnsi="宋体"/>
          <w:color w:val="auto"/>
          <w:szCs w:val="21"/>
          <w:highlight w:val="none"/>
          <w:lang w:eastAsia="zh-TW"/>
        </w:rPr>
        <w:t>文件要求提交全部资料，或者</w:t>
      </w:r>
      <w:r>
        <w:rPr>
          <w:rFonts w:hint="eastAsia" w:ascii="宋体" w:hAnsi="宋体"/>
          <w:color w:val="auto"/>
          <w:szCs w:val="21"/>
          <w:highlight w:val="none"/>
        </w:rPr>
        <w:t>参与竞价所上传的</w:t>
      </w:r>
      <w:r>
        <w:rPr>
          <w:rFonts w:hint="eastAsia" w:ascii="宋体" w:hAnsi="宋体"/>
          <w:color w:val="auto"/>
          <w:szCs w:val="21"/>
          <w:highlight w:val="none"/>
          <w:lang w:eastAsia="zh-TW"/>
        </w:rPr>
        <w:t>文件没有对</w:t>
      </w:r>
      <w:r>
        <w:rPr>
          <w:rFonts w:hint="eastAsia" w:ascii="宋体" w:hAnsi="宋体"/>
          <w:color w:val="auto"/>
          <w:szCs w:val="21"/>
          <w:highlight w:val="none"/>
        </w:rPr>
        <w:t>竞价</w:t>
      </w:r>
      <w:r>
        <w:rPr>
          <w:rFonts w:hint="eastAsia" w:ascii="宋体" w:hAnsi="宋体"/>
          <w:color w:val="auto"/>
          <w:szCs w:val="21"/>
          <w:highlight w:val="none"/>
          <w:lang w:eastAsia="zh-TW"/>
        </w:rPr>
        <w:t>文件在各方面都作出实质性响应是</w:t>
      </w:r>
      <w:r>
        <w:rPr>
          <w:rFonts w:hint="eastAsia" w:ascii="宋体" w:hAnsi="宋体"/>
          <w:color w:val="auto"/>
          <w:szCs w:val="21"/>
          <w:highlight w:val="none"/>
        </w:rPr>
        <w:t>供应商</w:t>
      </w:r>
      <w:r>
        <w:rPr>
          <w:rFonts w:hint="eastAsia" w:ascii="宋体" w:hAnsi="宋体"/>
          <w:color w:val="auto"/>
          <w:szCs w:val="21"/>
          <w:highlight w:val="none"/>
          <w:lang w:eastAsia="zh-TW"/>
        </w:rPr>
        <w:t>的风险，有可能导致其</w:t>
      </w:r>
      <w:r>
        <w:rPr>
          <w:rFonts w:hint="eastAsia" w:ascii="宋体" w:hAnsi="宋体"/>
          <w:color w:val="auto"/>
          <w:szCs w:val="21"/>
          <w:highlight w:val="none"/>
        </w:rPr>
        <w:t>竞价</w:t>
      </w:r>
      <w:r>
        <w:rPr>
          <w:rFonts w:hint="eastAsia" w:ascii="宋体" w:hAnsi="宋体"/>
          <w:color w:val="auto"/>
          <w:szCs w:val="21"/>
          <w:highlight w:val="none"/>
          <w:lang w:eastAsia="zh-TW"/>
        </w:rPr>
        <w:t>被拒绝，</w:t>
      </w:r>
      <w:r>
        <w:rPr>
          <w:rFonts w:hint="eastAsia" w:ascii="宋体" w:hAnsi="宋体"/>
          <w:color w:val="auto"/>
          <w:szCs w:val="21"/>
          <w:highlight w:val="none"/>
        </w:rPr>
        <w:t>或被认定为无效竞价。</w:t>
      </w:r>
    </w:p>
    <w:p w14:paraId="7A230AAD">
      <w:pPr>
        <w:pStyle w:val="38"/>
        <w:numPr>
          <w:ilvl w:val="0"/>
          <w:numId w:val="8"/>
        </w:numPr>
        <w:spacing w:line="360" w:lineRule="auto"/>
        <w:ind w:firstLineChars="0"/>
        <w:rPr>
          <w:rFonts w:ascii="宋体" w:hAnsi="宋体"/>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p>
    <w:p w14:paraId="115BC4E2">
      <w:pPr>
        <w:pStyle w:val="38"/>
        <w:numPr>
          <w:ilvl w:val="0"/>
          <w:numId w:val="8"/>
        </w:numPr>
        <w:spacing w:line="360" w:lineRule="auto"/>
        <w:ind w:firstLineChars="0"/>
        <w:rPr>
          <w:rFonts w:ascii="宋体" w:hAnsi="宋体"/>
          <w:color w:val="auto"/>
          <w:highlight w:val="none"/>
        </w:rPr>
      </w:pPr>
      <w:r>
        <w:rPr>
          <w:rFonts w:hint="eastAsia" w:ascii="宋体" w:hAnsi="宋体"/>
          <w:color w:val="auto"/>
          <w:highlight w:val="none"/>
        </w:rPr>
        <w:t>供应商认为竞价结果损害其权益的，应按照</w:t>
      </w:r>
      <w:r>
        <w:rPr>
          <w:rFonts w:hint="eastAsia" w:ascii="宋体" w:hAnsi="宋体"/>
          <w:color w:val="auto"/>
          <w:highlight w:val="none"/>
          <w:lang w:eastAsia="zh-CN"/>
        </w:rPr>
        <w:t>广咨电子招投标交易平台</w:t>
      </w:r>
      <w:r>
        <w:rPr>
          <w:rFonts w:hint="eastAsia" w:ascii="宋体" w:hAnsi="宋体"/>
          <w:color w:val="auto"/>
          <w:highlight w:val="none"/>
        </w:rPr>
        <w:t>平台相关指引在规定的时间内向采购人或代理机构提交书面质疑，不提交的视为无异议，</w:t>
      </w:r>
      <w:r>
        <w:rPr>
          <w:rFonts w:ascii="宋体" w:hAnsi="宋体"/>
          <w:color w:val="auto"/>
          <w:highlight w:val="none"/>
        </w:rPr>
        <w:t>逾期提交将不予受理</w:t>
      </w:r>
      <w:r>
        <w:rPr>
          <w:rFonts w:hint="eastAsia" w:ascii="宋体" w:hAnsi="宋体"/>
          <w:color w:val="auto"/>
          <w:highlight w:val="none"/>
        </w:rPr>
        <w:t>。</w:t>
      </w:r>
    </w:p>
    <w:p w14:paraId="4C99EE86">
      <w:pPr>
        <w:pStyle w:val="38"/>
        <w:numPr>
          <w:ilvl w:val="0"/>
          <w:numId w:val="8"/>
        </w:numPr>
        <w:spacing w:line="360" w:lineRule="auto"/>
        <w:ind w:firstLineChars="0"/>
        <w:rPr>
          <w:rFonts w:ascii="宋体" w:hAnsi="宋体"/>
          <w:color w:val="auto"/>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竞价邀请函</w:t>
      </w:r>
      <w:r>
        <w:rPr>
          <w:rFonts w:hint="eastAsia" w:ascii="宋体" w:hAnsi="宋体"/>
          <w:color w:val="auto"/>
          <w:szCs w:val="21"/>
          <w:highlight w:val="none"/>
        </w:rPr>
        <w:t>和竞价文件的解释权归“广东省机电设备招标有限公司”和“</w:t>
      </w:r>
      <w:r>
        <w:rPr>
          <w:rFonts w:hint="eastAsia" w:ascii="宋体" w:hAnsi="宋体"/>
          <w:color w:val="auto"/>
          <w:szCs w:val="21"/>
          <w:highlight w:val="none"/>
          <w:lang w:val="en-US" w:eastAsia="zh-CN"/>
        </w:rPr>
        <w:t>广东省未成年犯管教所</w:t>
      </w:r>
      <w:r>
        <w:rPr>
          <w:rFonts w:hint="eastAsia" w:ascii="宋体" w:hAnsi="宋体"/>
          <w:color w:val="auto"/>
          <w:szCs w:val="21"/>
          <w:highlight w:val="none"/>
        </w:rPr>
        <w:t>”所有</w:t>
      </w:r>
      <w:r>
        <w:rPr>
          <w:rFonts w:hint="eastAsia" w:ascii="宋体" w:hAnsi="宋体"/>
          <w:color w:val="auto"/>
          <w:szCs w:val="21"/>
          <w:highlight w:val="none"/>
          <w:lang w:eastAsia="zh-TW"/>
        </w:rPr>
        <w:t>。</w:t>
      </w:r>
    </w:p>
    <w:p w14:paraId="251060F5">
      <w:pPr>
        <w:pStyle w:val="38"/>
        <w:numPr>
          <w:ilvl w:val="0"/>
          <w:numId w:val="9"/>
        </w:numPr>
        <w:spacing w:line="360" w:lineRule="auto"/>
        <w:ind w:firstLineChars="0"/>
        <w:rPr>
          <w:rFonts w:ascii="宋体" w:hAnsi="宋体"/>
          <w:b/>
          <w:color w:val="auto"/>
          <w:highlight w:val="none"/>
        </w:rPr>
      </w:pPr>
      <w:r>
        <w:rPr>
          <w:rFonts w:hint="eastAsia" w:ascii="宋体" w:hAnsi="宋体"/>
          <w:b/>
          <w:color w:val="auto"/>
          <w:highlight w:val="none"/>
        </w:rPr>
        <w:t>竞价文件的澄清或修改</w:t>
      </w:r>
    </w:p>
    <w:p w14:paraId="7A0AE923">
      <w:pPr>
        <w:pStyle w:val="38"/>
        <w:numPr>
          <w:ilvl w:val="0"/>
          <w:numId w:val="10"/>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采购人或者采购代理机构可以对已发出的竞价文件进行必要的澄清或者修改。澄清或者修改的内容将在</w:t>
      </w:r>
      <w:r>
        <w:rPr>
          <w:rFonts w:hint="eastAsia" w:ascii="宋体" w:hAnsi="宋体"/>
          <w:color w:val="auto"/>
          <w:highlight w:val="none"/>
          <w:lang w:eastAsia="zh-CN"/>
        </w:rPr>
        <w:t>广咨电子招投标交易平台</w:t>
      </w:r>
      <w:r>
        <w:rPr>
          <w:rFonts w:hint="eastAsia" w:ascii="宋体" w:hAnsi="宋体"/>
          <w:color w:val="auto"/>
          <w:highlight w:val="none"/>
        </w:rPr>
        <w:t>平台上发布澄清（更正/变更）公告。</w:t>
      </w:r>
    </w:p>
    <w:p w14:paraId="63CE7294">
      <w:pPr>
        <w:pStyle w:val="38"/>
        <w:numPr>
          <w:ilvl w:val="0"/>
          <w:numId w:val="10"/>
        </w:numPr>
        <w:spacing w:line="360" w:lineRule="auto"/>
        <w:ind w:firstLineChars="0"/>
        <w:rPr>
          <w:rFonts w:ascii="宋体" w:hAnsi="宋体"/>
          <w:color w:val="auto"/>
          <w:highlight w:val="none"/>
        </w:rPr>
      </w:pPr>
      <w:r>
        <w:rPr>
          <w:rFonts w:hint="eastAsia" w:ascii="宋体" w:hAnsi="宋体"/>
          <w:color w:val="auto"/>
          <w:highlight w:val="none"/>
        </w:rPr>
        <w:t>无论澄清或者修改的内容是否影响竞价，平台将以短信形式通知所有的报名供应商；报名供应商应按要求履行相应的义务。</w:t>
      </w:r>
    </w:p>
    <w:p w14:paraId="77720643">
      <w:pPr>
        <w:pStyle w:val="38"/>
        <w:numPr>
          <w:ilvl w:val="0"/>
          <w:numId w:val="10"/>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采购人或者采购代理机构发出的澄清或修改（更正/变更）的内容为竞价文件的组成部分，并对供应商具有约束力。</w:t>
      </w:r>
    </w:p>
    <w:p w14:paraId="4221131B">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三</w:t>
      </w:r>
      <w:r>
        <w:rPr>
          <w:rFonts w:ascii="宋体" w:hAnsi="宋体"/>
          <w:b/>
          <w:color w:val="auto"/>
          <w:szCs w:val="21"/>
          <w:highlight w:val="none"/>
        </w:rPr>
        <w:t>)</w:t>
      </w:r>
      <w:r>
        <w:rPr>
          <w:rFonts w:hint="eastAsia" w:ascii="宋体" w:hAnsi="宋体"/>
          <w:b/>
          <w:color w:val="auto"/>
          <w:highlight w:val="none"/>
        </w:rPr>
        <w:t>确定成交候选人</w:t>
      </w:r>
    </w:p>
    <w:p w14:paraId="0ED15CD6">
      <w:pPr>
        <w:spacing w:line="360" w:lineRule="auto"/>
        <w:ind w:firstLine="420" w:firstLineChars="200"/>
        <w:rPr>
          <w:rFonts w:hint="eastAsia" w:ascii="宋体" w:hAnsi="宋体"/>
          <w:b/>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本项目以最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价</w:t>
      </w:r>
      <w:r>
        <w:rPr>
          <w:rFonts w:hint="eastAsia" w:ascii="宋体" w:hAnsi="宋体" w:cs="宋体"/>
          <w:i w:val="0"/>
          <w:iCs w:val="0"/>
          <w:caps w:val="0"/>
          <w:color w:val="auto"/>
          <w:spacing w:val="0"/>
          <w:sz w:val="21"/>
          <w:szCs w:val="21"/>
          <w:highlight w:val="none"/>
          <w:shd w:val="clear" w:fill="FFFFFF"/>
          <w:vertAlign w:val="baseline"/>
          <w:lang w:val="en-US" w:eastAsia="zh-CN"/>
        </w:rPr>
        <w:t>成交</w:t>
      </w:r>
      <w:r>
        <w:rPr>
          <w:rFonts w:hint="eastAsia" w:ascii="宋体" w:hAnsi="宋体" w:eastAsia="宋体" w:cs="宋体"/>
          <w:i w:val="0"/>
          <w:iCs w:val="0"/>
          <w:caps w:val="0"/>
          <w:color w:val="auto"/>
          <w:spacing w:val="0"/>
          <w:sz w:val="21"/>
          <w:szCs w:val="21"/>
          <w:highlight w:val="none"/>
          <w:shd w:val="clear" w:fill="FFFFFF"/>
          <w:vertAlign w:val="baseline"/>
        </w:rPr>
        <w:t>的方式确定成交供应商。报价时间截止后（时间以平台为准），系统按报价（经价格核准后的价格）由</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到</w:t>
      </w:r>
      <w:r>
        <w:rPr>
          <w:rFonts w:hint="eastAsia" w:ascii="宋体" w:hAnsi="宋体" w:cs="宋体"/>
          <w:i w:val="0"/>
          <w:iCs w:val="0"/>
          <w:caps w:val="0"/>
          <w:color w:val="auto"/>
          <w:spacing w:val="0"/>
          <w:sz w:val="21"/>
          <w:szCs w:val="21"/>
          <w:highlight w:val="none"/>
          <w:shd w:val="clear" w:fill="FFFFFF"/>
          <w:vertAlign w:val="baseline"/>
          <w:lang w:val="en-US" w:eastAsia="zh-CN"/>
        </w:rPr>
        <w:t>高</w:t>
      </w:r>
      <w:r>
        <w:rPr>
          <w:rFonts w:hint="eastAsia" w:ascii="宋体" w:hAnsi="宋体" w:eastAsia="宋体" w:cs="宋体"/>
          <w:i w:val="0"/>
          <w:iCs w:val="0"/>
          <w:caps w:val="0"/>
          <w:color w:val="auto"/>
          <w:spacing w:val="0"/>
          <w:sz w:val="21"/>
          <w:szCs w:val="21"/>
          <w:highlight w:val="none"/>
          <w:shd w:val="clear" w:fill="FFFFFF"/>
          <w:vertAlign w:val="baseline"/>
        </w:rPr>
        <w:t>顺序排列，报价最</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的为第一成交候选人，报价相同的，按报价时间在前的为第一成交候选人；报价次</w:t>
      </w:r>
      <w:r>
        <w:rPr>
          <w:rFonts w:hint="eastAsia" w:ascii="宋体" w:hAnsi="宋体" w:cs="宋体"/>
          <w:i w:val="0"/>
          <w:iCs w:val="0"/>
          <w:caps w:val="0"/>
          <w:color w:val="auto"/>
          <w:spacing w:val="0"/>
          <w:sz w:val="21"/>
          <w:szCs w:val="21"/>
          <w:highlight w:val="none"/>
          <w:shd w:val="clear" w:fill="FFFFFF"/>
          <w:vertAlign w:val="baseline"/>
          <w:lang w:val="en-US" w:eastAsia="zh-CN"/>
        </w:rPr>
        <w:t>低</w:t>
      </w:r>
      <w:r>
        <w:rPr>
          <w:rFonts w:hint="eastAsia" w:ascii="宋体" w:hAnsi="宋体" w:eastAsia="宋体" w:cs="宋体"/>
          <w:i w:val="0"/>
          <w:iCs w:val="0"/>
          <w:caps w:val="0"/>
          <w:color w:val="auto"/>
          <w:spacing w:val="0"/>
          <w:sz w:val="21"/>
          <w:szCs w:val="21"/>
          <w:highlight w:val="none"/>
          <w:shd w:val="clear" w:fill="FFFFFF"/>
          <w:vertAlign w:val="baseline"/>
        </w:rPr>
        <w:t>的为第二成交候选人，以此类推。</w:t>
      </w:r>
      <w:r>
        <w:rPr>
          <w:rFonts w:hint="eastAsia" w:ascii="宋体" w:hAnsi="宋体"/>
          <w:b/>
          <w:color w:val="auto"/>
          <w:sz w:val="21"/>
          <w:szCs w:val="21"/>
          <w:highlight w:val="none"/>
        </w:rPr>
        <w:t xml:space="preserve"> </w:t>
      </w:r>
    </w:p>
    <w:p w14:paraId="177ED605">
      <w:pPr>
        <w:spacing w:line="360" w:lineRule="auto"/>
        <w:ind w:firstLine="0"/>
        <w:rPr>
          <w:rFonts w:ascii="宋体" w:hAnsi="宋体"/>
          <w:color w:val="auto"/>
          <w:sz w:val="21"/>
          <w:szCs w:val="21"/>
          <w:highlight w:val="none"/>
        </w:rPr>
      </w:pP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四</w:t>
      </w:r>
      <w:r>
        <w:rPr>
          <w:rFonts w:ascii="宋体" w:hAnsi="宋体"/>
          <w:b/>
          <w:color w:val="auto"/>
          <w:sz w:val="21"/>
          <w:szCs w:val="21"/>
          <w:highlight w:val="none"/>
        </w:rPr>
        <w:t>)</w:t>
      </w:r>
      <w:r>
        <w:rPr>
          <w:rFonts w:hint="eastAsia" w:ascii="宋体" w:hAnsi="宋体"/>
          <w:b/>
          <w:color w:val="auto"/>
          <w:sz w:val="21"/>
          <w:szCs w:val="21"/>
          <w:highlight w:val="none"/>
        </w:rPr>
        <w:t>无效报价</w:t>
      </w:r>
    </w:p>
    <w:p w14:paraId="2855FB71">
      <w:pPr>
        <w:pStyle w:val="38"/>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color w:val="auto"/>
          <w:highlight w:val="none"/>
        </w:rPr>
        <w:t>供应商报价</w:t>
      </w:r>
      <w:r>
        <w:rPr>
          <w:rFonts w:hint="eastAsia" w:ascii="宋体" w:hAnsi="宋体"/>
          <w:color w:val="auto"/>
          <w:highlight w:val="none"/>
          <w:lang w:val="en-US" w:eastAsia="zh-CN"/>
        </w:rPr>
        <w:t>高</w:t>
      </w:r>
      <w:r>
        <w:rPr>
          <w:rFonts w:hint="eastAsia" w:ascii="宋体" w:hAnsi="宋体"/>
          <w:color w:val="auto"/>
          <w:highlight w:val="none"/>
        </w:rPr>
        <w:t>于最</w:t>
      </w:r>
      <w:r>
        <w:rPr>
          <w:rFonts w:hint="eastAsia" w:ascii="宋体" w:hAnsi="宋体"/>
          <w:color w:val="auto"/>
          <w:highlight w:val="none"/>
          <w:lang w:val="en-US" w:eastAsia="zh-CN"/>
        </w:rPr>
        <w:t>高</w:t>
      </w:r>
      <w:r>
        <w:rPr>
          <w:rFonts w:hint="eastAsia" w:ascii="宋体" w:hAnsi="宋体"/>
          <w:color w:val="auto"/>
          <w:highlight w:val="none"/>
        </w:rPr>
        <w:t>限价的视为无效报价。</w:t>
      </w:r>
    </w:p>
    <w:p w14:paraId="5A078C04">
      <w:pPr>
        <w:pStyle w:val="38"/>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供应商须提供本项目要求的资质文件，如果不按公告规定或竞价文件要求等相关规定提供符合要求的资质文件，将被视为无效报价；</w:t>
      </w:r>
    </w:p>
    <w:p w14:paraId="199EBB7F">
      <w:pPr>
        <w:pStyle w:val="38"/>
        <w:numPr>
          <w:ilvl w:val="0"/>
          <w:numId w:val="11"/>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供应商须对本项目采购内容进行整体报价，任何只对其中一部分内容进行的报价都被视为无效报价。</w:t>
      </w:r>
    </w:p>
    <w:p w14:paraId="40DBC017">
      <w:pPr>
        <w:pStyle w:val="38"/>
        <w:numPr>
          <w:ilvl w:val="0"/>
          <w:numId w:val="11"/>
        </w:numPr>
        <w:spacing w:line="360" w:lineRule="auto"/>
        <w:ind w:firstLineChars="0"/>
        <w:rPr>
          <w:rFonts w:ascii="宋体" w:hAnsi="宋体"/>
          <w:color w:val="auto"/>
          <w:szCs w:val="21"/>
          <w:highlight w:val="none"/>
        </w:rPr>
      </w:pPr>
      <w:r>
        <w:rPr>
          <w:rFonts w:ascii="宋体" w:hAnsi="宋体"/>
          <w:color w:val="auto"/>
          <w:highlight w:val="none"/>
          <w:u w:val="double"/>
        </w:rPr>
        <w:t>报价表</w:t>
      </w:r>
      <w:r>
        <w:rPr>
          <w:rFonts w:hint="eastAsia" w:ascii="宋体" w:hAnsi="宋体"/>
          <w:color w:val="auto"/>
          <w:highlight w:val="none"/>
          <w:u w:val="double"/>
        </w:rPr>
        <w:t>以及有报价供应商落款的报价文件</w:t>
      </w:r>
      <w:r>
        <w:rPr>
          <w:rFonts w:ascii="宋体" w:hAnsi="宋体"/>
          <w:color w:val="auto"/>
          <w:highlight w:val="none"/>
          <w:u w:val="double"/>
        </w:rPr>
        <w:t>必须加盖</w:t>
      </w:r>
      <w:r>
        <w:rPr>
          <w:rFonts w:hint="eastAsia" w:ascii="宋体" w:hAnsi="宋体"/>
          <w:color w:val="auto"/>
          <w:highlight w:val="none"/>
          <w:u w:val="double"/>
        </w:rPr>
        <w:t>报价供应商</w:t>
      </w:r>
      <w:r>
        <w:rPr>
          <w:rFonts w:ascii="宋体" w:hAnsi="宋体"/>
          <w:color w:val="auto"/>
          <w:highlight w:val="none"/>
          <w:u w:val="double"/>
        </w:rPr>
        <w:t>公章，否则视为无效报价</w:t>
      </w:r>
      <w:r>
        <w:rPr>
          <w:rFonts w:hint="eastAsia" w:ascii="宋体" w:hAnsi="宋体"/>
          <w:color w:val="auto"/>
          <w:highlight w:val="none"/>
        </w:rPr>
        <w:t>；</w:t>
      </w:r>
    </w:p>
    <w:p w14:paraId="59A4ED7C">
      <w:pPr>
        <w:pStyle w:val="19"/>
        <w:numPr>
          <w:ilvl w:val="0"/>
          <w:numId w:val="11"/>
        </w:numPr>
        <w:shd w:val="clear" w:color="auto" w:fill="FFFFFF"/>
        <w:spacing w:before="0" w:beforeAutospacing="0" w:after="0" w:afterAutospacing="0" w:line="276" w:lineRule="auto"/>
        <w:rPr>
          <w:b w:val="0"/>
          <w:bCs w:val="0"/>
          <w:color w:val="auto"/>
          <w:sz w:val="21"/>
          <w:szCs w:val="21"/>
          <w:highlight w:val="none"/>
          <w:u w:val="double"/>
        </w:rPr>
      </w:pPr>
      <w:r>
        <w:rPr>
          <w:rFonts w:hint="eastAsia"/>
          <w:b w:val="0"/>
          <w:bCs w:val="0"/>
          <w:color w:val="auto"/>
          <w:sz w:val="21"/>
          <w:szCs w:val="21"/>
          <w:highlight w:val="none"/>
          <w:u w:val="double"/>
        </w:rPr>
        <w:t>按有关法律、法规、规章属于报价无效的。</w:t>
      </w:r>
    </w:p>
    <w:p w14:paraId="4E4803AB">
      <w:pPr>
        <w:pStyle w:val="19"/>
        <w:numPr>
          <w:ilvl w:val="0"/>
          <w:numId w:val="11"/>
        </w:numPr>
        <w:shd w:val="clear" w:color="auto" w:fill="FFFFFF"/>
        <w:spacing w:before="0" w:beforeAutospacing="0" w:after="0" w:afterAutospacing="0" w:line="360" w:lineRule="auto"/>
        <w:rPr>
          <w:color w:val="auto"/>
          <w:sz w:val="21"/>
          <w:szCs w:val="21"/>
          <w:highlight w:val="none"/>
        </w:rPr>
      </w:pPr>
      <w:r>
        <w:rPr>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3D0F391">
      <w:pPr>
        <w:pStyle w:val="19"/>
        <w:numPr>
          <w:ilvl w:val="0"/>
          <w:numId w:val="11"/>
        </w:numPr>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有下列情形之一的，视为串通竞价，其报价无效：</w:t>
      </w:r>
    </w:p>
    <w:p w14:paraId="7A6EC0D4">
      <w:pPr>
        <w:pStyle w:val="38"/>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14:paraId="53D7761C">
      <w:pPr>
        <w:pStyle w:val="38"/>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14:paraId="0C07C76E">
      <w:pPr>
        <w:pStyle w:val="38"/>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14:paraId="4BECA4C4">
      <w:pPr>
        <w:pStyle w:val="38"/>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不同供应商使用同一IP</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地址参与竞价；</w:t>
      </w:r>
    </w:p>
    <w:p w14:paraId="185DD676">
      <w:pPr>
        <w:pStyle w:val="38"/>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14:paraId="62DC892A">
      <w:pPr>
        <w:pStyle w:val="38"/>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14:paraId="586D41B5">
      <w:pPr>
        <w:pStyle w:val="38"/>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不同供应商的响应文件相互混淆；</w:t>
      </w:r>
    </w:p>
    <w:p w14:paraId="2AB3612B">
      <w:pPr>
        <w:pStyle w:val="38"/>
        <w:widowControl/>
        <w:numPr>
          <w:ilvl w:val="2"/>
          <w:numId w:val="12"/>
        </w:numPr>
        <w:spacing w:line="360" w:lineRule="auto"/>
        <w:ind w:left="1407" w:leftChars="0" w:firstLineChars="0"/>
        <w:jc w:val="left"/>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p>
    <w:p w14:paraId="36CC38D2">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五</w:t>
      </w:r>
      <w:r>
        <w:rPr>
          <w:rFonts w:ascii="宋体" w:hAnsi="宋体"/>
          <w:b/>
          <w:color w:val="auto"/>
          <w:szCs w:val="21"/>
          <w:highlight w:val="none"/>
        </w:rPr>
        <w:t>)</w:t>
      </w:r>
      <w:r>
        <w:rPr>
          <w:rFonts w:hint="eastAsia" w:ascii="宋体" w:hAnsi="宋体"/>
          <w:b/>
          <w:color w:val="auto"/>
          <w:highlight w:val="none"/>
        </w:rPr>
        <w:t>竞价活动失败</w:t>
      </w:r>
    </w:p>
    <w:p w14:paraId="5612C068">
      <w:pPr>
        <w:pStyle w:val="38"/>
        <w:numPr>
          <w:ilvl w:val="0"/>
          <w:numId w:val="0"/>
        </w:numPr>
        <w:spacing w:before="156" w:beforeLines="50" w:line="360" w:lineRule="auto"/>
        <w:ind w:left="420" w:leftChars="0"/>
        <w:rPr>
          <w:rFonts w:ascii="宋体" w:hAnsi="宋体"/>
          <w:color w:val="auto"/>
          <w:szCs w:val="21"/>
          <w:highlight w:val="none"/>
        </w:rPr>
      </w:pPr>
      <w:r>
        <w:rPr>
          <w:rFonts w:hint="eastAsia" w:ascii="宋体" w:hAnsi="宋体" w:cs="Tahoma"/>
          <w:color w:val="auto"/>
          <w:szCs w:val="21"/>
          <w:highlight w:val="none"/>
          <w:lang w:val="en-US" w:eastAsia="zh-CN"/>
        </w:rPr>
        <w:t>1.</w:t>
      </w:r>
      <w:r>
        <w:rPr>
          <w:rFonts w:ascii="宋体" w:hAnsi="宋体" w:cs="Tahoma"/>
          <w:color w:val="auto"/>
          <w:szCs w:val="21"/>
          <w:highlight w:val="none"/>
        </w:rPr>
        <w:t>出现下列情况的，本次竞价活动失败：</w:t>
      </w:r>
    </w:p>
    <w:p w14:paraId="7B977011">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s="Tahoma"/>
          <w:color w:val="auto"/>
          <w:szCs w:val="21"/>
          <w:highlight w:val="none"/>
        </w:rPr>
      </w:pPr>
      <w:r>
        <w:rPr>
          <w:rFonts w:hint="eastAsia" w:ascii="宋体" w:hAnsi="宋体" w:cs="Tahoma"/>
          <w:color w:val="auto"/>
          <w:szCs w:val="21"/>
          <w:highlight w:val="none"/>
          <w:lang w:val="en-US" w:eastAsia="zh-CN"/>
        </w:rPr>
        <w:t>2.</w:t>
      </w:r>
      <w:r>
        <w:rPr>
          <w:rFonts w:ascii="宋体" w:hAnsi="宋体" w:cs="Tahoma"/>
          <w:color w:val="auto"/>
          <w:szCs w:val="21"/>
          <w:highlight w:val="none"/>
        </w:rPr>
        <w:t>报名供应商不足3家；</w:t>
      </w:r>
    </w:p>
    <w:p w14:paraId="05415C10">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ahoma"/>
          <w:color w:val="auto"/>
          <w:szCs w:val="21"/>
          <w:highlight w:val="none"/>
          <w:lang w:val="en-US" w:eastAsia="zh-CN"/>
        </w:rPr>
      </w:pPr>
      <w:r>
        <w:rPr>
          <w:rFonts w:hint="eastAsia" w:ascii="宋体" w:hAnsi="宋体" w:cs="Tahoma"/>
          <w:color w:val="auto"/>
          <w:szCs w:val="21"/>
          <w:highlight w:val="none"/>
          <w:lang w:val="en-US" w:eastAsia="zh-CN"/>
        </w:rPr>
        <w:t>3.报价供应商不足3家；</w:t>
      </w:r>
    </w:p>
    <w:p w14:paraId="4D9A849A">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出现影响采购公正的违法、违规行为的</w:t>
      </w:r>
      <w:r>
        <w:rPr>
          <w:rFonts w:hint="eastAsia" w:ascii="宋体" w:hAnsi="宋体"/>
          <w:color w:val="auto"/>
          <w:szCs w:val="21"/>
          <w:highlight w:val="none"/>
        </w:rPr>
        <w:t>；</w:t>
      </w:r>
    </w:p>
    <w:p w14:paraId="7BC88696">
      <w:pPr>
        <w:numPr>
          <w:ilvl w:val="0"/>
          <w:numId w:val="0"/>
        </w:numPr>
        <w:spacing w:line="360" w:lineRule="auto"/>
        <w:ind w:left="420" w:leftChars="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因重大变故，采购任务取消的</w:t>
      </w:r>
      <w:r>
        <w:rPr>
          <w:rFonts w:hint="eastAsia" w:ascii="宋体" w:hAnsi="宋体"/>
          <w:color w:val="auto"/>
          <w:szCs w:val="21"/>
          <w:highlight w:val="none"/>
        </w:rPr>
        <w:t>；</w:t>
      </w:r>
    </w:p>
    <w:p w14:paraId="3E4E249F">
      <w:pPr>
        <w:spacing w:line="360" w:lineRule="auto"/>
        <w:ind w:firstLine="0"/>
        <w:rPr>
          <w:rFonts w:ascii="宋体" w:hAnsi="宋体"/>
          <w:b/>
          <w:color w:val="auto"/>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六</w:t>
      </w:r>
      <w:r>
        <w:rPr>
          <w:rFonts w:ascii="宋体" w:hAnsi="宋体"/>
          <w:b/>
          <w:color w:val="auto"/>
          <w:szCs w:val="21"/>
          <w:highlight w:val="none"/>
        </w:rPr>
        <w:t>)</w:t>
      </w:r>
      <w:r>
        <w:rPr>
          <w:rFonts w:hint="eastAsia" w:ascii="宋体" w:hAnsi="宋体"/>
          <w:b/>
          <w:color w:val="auto"/>
          <w:highlight w:val="none"/>
        </w:rPr>
        <w:t>使用费</w:t>
      </w:r>
    </w:p>
    <w:p w14:paraId="73D65222">
      <w:pPr>
        <w:numPr>
          <w:ilvl w:val="0"/>
          <w:numId w:val="13"/>
        </w:numPr>
        <w:tabs>
          <w:tab w:val="left" w:pos="1200"/>
        </w:tabs>
        <w:spacing w:line="360" w:lineRule="auto"/>
        <w:rPr>
          <w:rFonts w:ascii="宋体" w:hAnsi="宋体"/>
          <w:color w:val="auto"/>
          <w:highlight w:val="none"/>
        </w:rPr>
      </w:pPr>
      <w:r>
        <w:rPr>
          <w:rFonts w:hint="eastAsia" w:ascii="宋体" w:hAnsi="宋体"/>
          <w:color w:val="auto"/>
          <w:highlight w:val="none"/>
        </w:rPr>
        <w:t>成交供应商须向平台服务商缴纳交易服务费，金额</w:t>
      </w:r>
      <w:r>
        <w:rPr>
          <w:rFonts w:hint="eastAsia" w:ascii="宋体" w:hAnsi="宋体"/>
          <w:color w:val="auto"/>
          <w:highlight w:val="none"/>
          <w:lang w:val="en-US" w:eastAsia="zh-CN"/>
        </w:rPr>
        <w:t>按</w:t>
      </w:r>
      <w:r>
        <w:rPr>
          <w:rFonts w:hint="eastAsia" w:ascii="宋体" w:hAnsi="宋体"/>
          <w:color w:val="auto"/>
          <w:highlight w:val="none"/>
        </w:rPr>
        <w:t>最终成交价的</w:t>
      </w:r>
      <w:r>
        <w:rPr>
          <w:rFonts w:hint="eastAsia" w:ascii="宋体" w:hAnsi="宋体"/>
          <w:color w:val="auto"/>
          <w:highlight w:val="none"/>
          <w:lang w:val="en-US" w:eastAsia="zh-CN"/>
        </w:rPr>
        <w:t>0.9</w:t>
      </w:r>
      <w:r>
        <w:rPr>
          <w:rFonts w:hint="eastAsia" w:ascii="宋体" w:hAnsi="宋体"/>
          <w:color w:val="auto"/>
          <w:highlight w:val="none"/>
        </w:rPr>
        <w:t>%</w:t>
      </w:r>
      <w:r>
        <w:rPr>
          <w:rFonts w:ascii="宋体" w:hAnsi="宋体"/>
          <w:color w:val="auto"/>
          <w:highlight w:val="none"/>
        </w:rPr>
        <w:t>；</w:t>
      </w:r>
    </w:p>
    <w:p w14:paraId="059578F4">
      <w:pPr>
        <w:numPr>
          <w:ilvl w:val="0"/>
          <w:numId w:val="13"/>
        </w:numPr>
        <w:tabs>
          <w:tab w:val="left" w:pos="1200"/>
        </w:tabs>
        <w:spacing w:line="360" w:lineRule="auto"/>
        <w:rPr>
          <w:rFonts w:ascii="宋体" w:hAnsi="宋体"/>
          <w:color w:val="auto"/>
          <w:highlight w:val="none"/>
        </w:rPr>
      </w:pPr>
      <w:r>
        <w:rPr>
          <w:rFonts w:hint="eastAsia" w:ascii="宋体" w:hAnsi="宋体"/>
          <w:color w:val="auto"/>
          <w:highlight w:val="none"/>
        </w:rPr>
        <w:t>成交供应商无正当理由放弃成交资格的必须按</w:t>
      </w:r>
      <w:r>
        <w:rPr>
          <w:rFonts w:hint="eastAsia" w:ascii="宋体" w:hAnsi="宋体"/>
          <w:color w:val="auto"/>
          <w:highlight w:val="none"/>
          <w:lang w:eastAsia="zh-CN"/>
        </w:rPr>
        <w:t>竞价邀请函</w:t>
      </w:r>
      <w:r>
        <w:rPr>
          <w:rFonts w:hint="eastAsia" w:ascii="宋体" w:hAnsi="宋体"/>
          <w:color w:val="auto"/>
          <w:highlight w:val="none"/>
        </w:rPr>
        <w:t>等相关规定缴纳相应的交易服务费；</w:t>
      </w:r>
    </w:p>
    <w:p w14:paraId="1A48BDFD">
      <w:pPr>
        <w:numPr>
          <w:ilvl w:val="0"/>
          <w:numId w:val="13"/>
        </w:numPr>
        <w:tabs>
          <w:tab w:val="left" w:pos="1200"/>
        </w:tabs>
        <w:spacing w:line="360" w:lineRule="auto"/>
        <w:rPr>
          <w:rFonts w:ascii="宋体" w:hAnsi="宋体"/>
          <w:color w:val="auto"/>
          <w:highlight w:val="none"/>
        </w:rPr>
      </w:pPr>
      <w:r>
        <w:rPr>
          <w:rFonts w:hint="eastAsia" w:ascii="宋体" w:hAnsi="宋体"/>
          <w:color w:val="auto"/>
          <w:szCs w:val="21"/>
          <w:highlight w:val="none"/>
        </w:rPr>
        <w:t>如确实因不可抗力放弃成交资格的，应在不可抗力发生后三个工作日内予以通知采购代理机构并提供相关的证明；如逾期，采购代理机构不予退还交易服务费；</w:t>
      </w:r>
    </w:p>
    <w:p w14:paraId="250A557C">
      <w:pPr>
        <w:widowControl/>
        <w:spacing w:line="240" w:lineRule="auto"/>
        <w:ind w:firstLine="0"/>
        <w:jc w:val="center"/>
        <w:rPr>
          <w:rFonts w:ascii="宋体" w:hAnsi="宋体"/>
          <w:b/>
          <w:color w:val="auto"/>
          <w:highlight w:val="none"/>
        </w:rPr>
      </w:pPr>
      <w:r>
        <w:rPr>
          <w:rFonts w:ascii="宋体" w:hAnsi="宋体"/>
          <w:b/>
          <w:color w:val="auto"/>
          <w:highlight w:val="none"/>
        </w:rPr>
        <w:br w:type="page"/>
      </w:r>
    </w:p>
    <w:p w14:paraId="487C7440">
      <w:pPr>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三</w:t>
      </w:r>
      <w:r>
        <w:rPr>
          <w:rFonts w:hint="eastAsia" w:ascii="宋体" w:hAnsi="宋体"/>
          <w:b/>
          <w:bCs/>
          <w:color w:val="auto"/>
          <w:kern w:val="0"/>
          <w:sz w:val="32"/>
          <w:szCs w:val="32"/>
          <w:highlight w:val="none"/>
        </w:rPr>
        <w:t>章 用户需求书</w:t>
      </w:r>
    </w:p>
    <w:p w14:paraId="62B60B27">
      <w:pPr>
        <w:spacing w:before="156" w:beforeLines="50" w:line="360" w:lineRule="auto"/>
        <w:ind w:left="517" w:hanging="517"/>
        <w:rPr>
          <w:rFonts w:ascii="宋体" w:hAnsi="宋体" w:cs="宋体"/>
          <w:b/>
          <w:bCs/>
          <w:color w:val="auto"/>
          <w:szCs w:val="21"/>
          <w:highlight w:val="none"/>
        </w:rPr>
      </w:pPr>
      <w:r>
        <w:rPr>
          <w:rFonts w:hint="eastAsia" w:ascii="宋体" w:hAnsi="宋体" w:cs="宋体"/>
          <w:b/>
          <w:bCs/>
          <w:color w:val="auto"/>
          <w:szCs w:val="21"/>
          <w:highlight w:val="none"/>
        </w:rPr>
        <w:t>说明：</w:t>
      </w:r>
    </w:p>
    <w:p w14:paraId="4B4990A9">
      <w:pPr>
        <w:spacing w:before="156" w:beforeLines="50" w:line="360" w:lineRule="auto"/>
        <w:ind w:left="420" w:hanging="420"/>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14:paraId="19C8CCF7">
      <w:pPr>
        <w:pageBreakBefore w:val="0"/>
        <w:numPr>
          <w:ilvl w:val="0"/>
          <w:numId w:val="0"/>
        </w:numPr>
        <w:kinsoku/>
        <w:wordWrap/>
        <w:overflowPunct/>
        <w:topLinePunct w:val="0"/>
        <w:bidi w:val="0"/>
        <w:adjustRightInd/>
        <w:snapToGrid/>
        <w:spacing w:line="360" w:lineRule="auto"/>
        <w:ind w:firstLine="422" w:firstLineChars="200"/>
        <w:jc w:val="both"/>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auto"/>
          <w:sz w:val="21"/>
          <w:szCs w:val="21"/>
          <w:lang w:val="en-US" w:eastAsia="zh-CN"/>
        </w:rPr>
        <w:t>一、项目背景</w:t>
      </w:r>
    </w:p>
    <w:p w14:paraId="1924BB92">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本项目是广东省未成年犯管教所按照广州市白云区反恐怖工作领导小组办公室对我所防恐怖活动防范设施进行监督检查的指导意见,建议我所南、北门按照《反恐怖防范管理 防冲撞设施DB4401/43-2020》及《中华人民共和国公共安全行业标准 防爆升降式阻车路障 GA/T 1343-2016》的建设标准安装液压式自动升降型金属柱。</w:t>
      </w:r>
    </w:p>
    <w:p w14:paraId="11EFE167">
      <w:pPr>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jc w:val="lef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二、技术要求</w:t>
      </w:r>
    </w:p>
    <w:p w14:paraId="784A9745">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（一）产品规格参数或技术要求</w:t>
      </w:r>
    </w:p>
    <w:p w14:paraId="1AB24F48">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303A89AD">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51A58192">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0BA083D5">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654315C9">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7F990BED">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6FC9CB42">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6AEA6B0A">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79F6D92E">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5D3C2666">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2F35A829">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3C3C3C73">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0E1256D7">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03C013D1">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2A86D21C">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5B29E690">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6578F077">
      <w:pPr>
        <w:pStyle w:val="2"/>
        <w:rPr>
          <w:rFonts w:hint="eastAsia"/>
          <w:lang w:val="en-US" w:eastAsia="zh-CN"/>
        </w:rPr>
      </w:pPr>
    </w:p>
    <w:p w14:paraId="7E6C3D5D">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6B7B27FD">
      <w:pPr>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0"/>
        <w:gridCol w:w="4964"/>
        <w:gridCol w:w="638"/>
        <w:gridCol w:w="638"/>
        <w:gridCol w:w="2250"/>
      </w:tblGrid>
      <w:tr w14:paraId="37E5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5" w:hRule="atLeast"/>
          <w:tblHeader/>
          <w:jc w:val="center"/>
        </w:trPr>
        <w:tc>
          <w:tcPr>
            <w:tcW w:w="712" w:type="pct"/>
            <w:shd w:val="clear" w:color="auto" w:fill="auto"/>
            <w:noWrap w:val="0"/>
            <w:vAlign w:val="center"/>
          </w:tcPr>
          <w:p w14:paraId="6266AC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b/>
                <w:bCs/>
                <w:i w:val="0"/>
                <w:iCs w:val="0"/>
                <w:color w:val="auto"/>
                <w:kern w:val="0"/>
                <w:sz w:val="21"/>
                <w:szCs w:val="21"/>
              </w:rPr>
            </w:pPr>
            <w:r>
              <w:rPr>
                <w:rFonts w:hint="eastAsia" w:ascii="宋体" w:hAnsi="宋体" w:eastAsia="宋体" w:cs="宋体"/>
                <w:b/>
                <w:bCs/>
                <w:i w:val="0"/>
                <w:iCs w:val="0"/>
                <w:snapToGrid/>
                <w:color w:val="auto"/>
                <w:kern w:val="0"/>
                <w:sz w:val="21"/>
                <w:szCs w:val="21"/>
                <w:lang w:val="en-US" w:eastAsia="zh-CN" w:bidi="ar"/>
              </w:rPr>
              <w:t>设备名称</w:t>
            </w:r>
          </w:p>
        </w:tc>
        <w:tc>
          <w:tcPr>
            <w:tcW w:w="2540" w:type="pct"/>
            <w:shd w:val="clear" w:color="auto" w:fill="auto"/>
            <w:noWrap w:val="0"/>
            <w:vAlign w:val="center"/>
          </w:tcPr>
          <w:p w14:paraId="5686CD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b/>
                <w:bCs/>
                <w:i w:val="0"/>
                <w:iCs w:val="0"/>
                <w:color w:val="auto"/>
                <w:kern w:val="0"/>
                <w:sz w:val="21"/>
                <w:szCs w:val="21"/>
              </w:rPr>
            </w:pPr>
            <w:r>
              <w:rPr>
                <w:rFonts w:hint="eastAsia" w:ascii="宋体" w:hAnsi="宋体" w:eastAsia="宋体" w:cs="宋体"/>
                <w:b/>
                <w:bCs/>
                <w:i w:val="0"/>
                <w:iCs w:val="0"/>
                <w:snapToGrid/>
                <w:color w:val="auto"/>
                <w:kern w:val="0"/>
                <w:sz w:val="21"/>
                <w:szCs w:val="21"/>
                <w:lang w:val="en-US" w:eastAsia="zh-CN" w:bidi="ar"/>
              </w:rPr>
              <w:t>设备材料规格明细</w:t>
            </w:r>
          </w:p>
        </w:tc>
        <w:tc>
          <w:tcPr>
            <w:tcW w:w="282" w:type="pct"/>
            <w:shd w:val="clear" w:color="auto" w:fill="auto"/>
            <w:noWrap/>
            <w:vAlign w:val="center"/>
          </w:tcPr>
          <w:p w14:paraId="76EA99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i w:val="0"/>
                <w:iCs w:val="0"/>
                <w:snapToGrid/>
                <w:color w:val="auto"/>
                <w:kern w:val="0"/>
                <w:sz w:val="21"/>
                <w:szCs w:val="21"/>
                <w:lang w:val="en-US" w:eastAsia="zh-CN" w:bidi="ar"/>
              </w:rPr>
            </w:pPr>
            <w:r>
              <w:rPr>
                <w:rFonts w:hint="eastAsia" w:ascii="宋体" w:hAnsi="宋体" w:eastAsia="宋体" w:cs="宋体"/>
                <w:b/>
                <w:bCs/>
                <w:i w:val="0"/>
                <w:iCs w:val="0"/>
                <w:snapToGrid/>
                <w:color w:val="auto"/>
                <w:kern w:val="0"/>
                <w:sz w:val="21"/>
                <w:szCs w:val="21"/>
                <w:lang w:val="en-US" w:eastAsia="zh-CN" w:bidi="ar"/>
              </w:rPr>
              <w:t>单位</w:t>
            </w:r>
          </w:p>
        </w:tc>
        <w:tc>
          <w:tcPr>
            <w:tcW w:w="300" w:type="pct"/>
            <w:shd w:val="clear" w:color="auto" w:fill="auto"/>
            <w:noWrap/>
            <w:vAlign w:val="center"/>
          </w:tcPr>
          <w:p w14:paraId="1E7525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i w:val="0"/>
                <w:iCs w:val="0"/>
                <w:color w:val="auto"/>
                <w:kern w:val="0"/>
                <w:sz w:val="21"/>
                <w:szCs w:val="21"/>
                <w:lang w:val="en-US" w:eastAsia="zh-CN" w:bidi="ar-SA"/>
              </w:rPr>
            </w:pPr>
            <w:r>
              <w:rPr>
                <w:rFonts w:hint="eastAsia" w:ascii="宋体" w:hAnsi="宋体" w:eastAsia="宋体" w:cs="宋体"/>
                <w:b/>
                <w:bCs/>
                <w:i w:val="0"/>
                <w:iCs w:val="0"/>
                <w:snapToGrid/>
                <w:color w:val="auto"/>
                <w:kern w:val="0"/>
                <w:sz w:val="21"/>
                <w:szCs w:val="21"/>
                <w:lang w:val="en-US" w:eastAsia="zh-CN" w:bidi="ar"/>
              </w:rPr>
              <w:t>数量</w:t>
            </w:r>
          </w:p>
        </w:tc>
        <w:tc>
          <w:tcPr>
            <w:tcW w:w="1163" w:type="pct"/>
            <w:shd w:val="clear" w:color="auto" w:fill="auto"/>
            <w:noWrap w:val="0"/>
            <w:vAlign w:val="center"/>
          </w:tcPr>
          <w:p w14:paraId="1B230D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b/>
                <w:bCs/>
                <w:i w:val="0"/>
                <w:iCs w:val="0"/>
                <w:color w:val="auto"/>
                <w:kern w:val="0"/>
                <w:sz w:val="21"/>
                <w:szCs w:val="21"/>
              </w:rPr>
            </w:pPr>
            <w:r>
              <w:rPr>
                <w:rFonts w:hint="eastAsia" w:ascii="宋体" w:hAnsi="宋体" w:eastAsia="宋体" w:cs="宋体"/>
                <w:b/>
                <w:bCs/>
                <w:i w:val="0"/>
                <w:iCs w:val="0"/>
                <w:snapToGrid/>
                <w:color w:val="auto"/>
                <w:kern w:val="0"/>
                <w:sz w:val="21"/>
                <w:szCs w:val="21"/>
                <w:lang w:val="en-US" w:eastAsia="zh-CN" w:bidi="ar"/>
              </w:rPr>
              <w:t>备注</w:t>
            </w:r>
          </w:p>
        </w:tc>
      </w:tr>
      <w:tr w14:paraId="63DC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942" w:hRule="atLeast"/>
          <w:tblHeader/>
          <w:jc w:val="center"/>
        </w:trPr>
        <w:tc>
          <w:tcPr>
            <w:tcW w:w="712" w:type="pct"/>
            <w:shd w:val="clear" w:color="auto" w:fill="auto"/>
            <w:noWrap w:val="0"/>
            <w:vAlign w:val="center"/>
          </w:tcPr>
          <w:p w14:paraId="7F1F451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品牌：启功</w:t>
            </w:r>
          </w:p>
          <w:p w14:paraId="2C2C0D2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562238E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全自动液压式升降柱</w:t>
            </w:r>
          </w:p>
          <w:p w14:paraId="00CADA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p>
        </w:tc>
        <w:tc>
          <w:tcPr>
            <w:tcW w:w="2540" w:type="pct"/>
            <w:shd w:val="clear" w:color="auto" w:fill="auto"/>
            <w:noWrap w:val="0"/>
            <w:vAlign w:val="center"/>
          </w:tcPr>
          <w:p w14:paraId="6847BAB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1、系统控制 ：电动液压；</w:t>
            </w:r>
          </w:p>
          <w:p w14:paraId="5B4288C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2、升起高度：600±1mm，</w:t>
            </w:r>
          </w:p>
          <w:p w14:paraId="36BC387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3、柱体直径：219±1mm；</w:t>
            </w:r>
          </w:p>
          <w:p w14:paraId="1104FDA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4、柱体厚度：12±1mm；</w:t>
            </w:r>
          </w:p>
          <w:p w14:paraId="1FB10E3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5、预埋桶规格：预埋深度1100mm*长334mm*宽334mm，预埋桶厚度：5mm；</w:t>
            </w:r>
          </w:p>
          <w:p w14:paraId="7FA0DCF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6、盖板厚度：6±1mm；</w:t>
            </w:r>
          </w:p>
          <w:p w14:paraId="0690A6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7.柱体总长：850mm；</w:t>
            </w:r>
          </w:p>
          <w:p w14:paraId="42244FC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8.法兰厚度：8mm；</w:t>
            </w:r>
          </w:p>
          <w:p w14:paraId="4E63492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9.承重盘厚：30mm；</w:t>
            </w:r>
          </w:p>
          <w:p w14:paraId="57D0475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10.整机重量：118KG；</w:t>
            </w:r>
          </w:p>
          <w:p w14:paraId="3585382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11.柱体工艺：无缝管拉丝；</w:t>
            </w:r>
          </w:p>
          <w:p w14:paraId="5732965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12.结构配件：模具化拆卸；</w:t>
            </w:r>
          </w:p>
          <w:p w14:paraId="1581E1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13、材质：304不锈钢。</w:t>
            </w:r>
          </w:p>
          <w:p w14:paraId="444EB64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14、通过压力：可通行50吨货柜车。</w:t>
            </w:r>
          </w:p>
          <w:p w14:paraId="64B09F0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15、上升速度：≤4S，下降速度：≤2S </w:t>
            </w:r>
          </w:p>
          <w:p w14:paraId="18727E2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16、供电电源：220V。</w:t>
            </w:r>
          </w:p>
          <w:p w14:paraId="63EE6A4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17、工作温度：-35℃~75℃（适合）</w:t>
            </w:r>
          </w:p>
          <w:p w14:paraId="1BB17D6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18、存储环境：-10℃~65℃, 防雨防潮防尘</w:t>
            </w:r>
          </w:p>
          <w:p w14:paraId="4A4E194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19.承重原理：上承重结构；</w:t>
            </w:r>
          </w:p>
          <w:p w14:paraId="5F7F23E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20.阻挡柱主体顶端具有明显的反光识别带警示标示及具有夜间LED警示灯功能；</w:t>
            </w:r>
          </w:p>
          <w:p w14:paraId="1AEE0C1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21.抗撞能力：6.8吨65时速撞击，到达B级标准。（需提供第三方权威机构出具的CNAS和CMA检测报告并加盖厂家公章）；</w:t>
            </w:r>
          </w:p>
          <w:p w14:paraId="2A14137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22.电池舱的设计应做到不可能因可燃性气体的积聚而引起爆炸和着火。（需提供第三方权威机构出具的CNAS和CMA检测报告并加盖厂家公章）；</w:t>
            </w:r>
          </w:p>
          <w:p w14:paraId="251D718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23.在外部供电停止状态下，应具有手动泄压下降功能；</w:t>
            </w:r>
          </w:p>
          <w:p w14:paraId="36CFA74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tc>
        <w:tc>
          <w:tcPr>
            <w:tcW w:w="282" w:type="pct"/>
            <w:shd w:val="clear" w:color="auto" w:fill="auto"/>
            <w:noWrap w:val="0"/>
            <w:vAlign w:val="center"/>
          </w:tcPr>
          <w:p w14:paraId="5B6415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根</w:t>
            </w:r>
          </w:p>
        </w:tc>
        <w:tc>
          <w:tcPr>
            <w:tcW w:w="300" w:type="pct"/>
            <w:shd w:val="clear" w:color="auto" w:fill="auto"/>
            <w:noWrap w:val="0"/>
            <w:vAlign w:val="center"/>
          </w:tcPr>
          <w:p w14:paraId="378C77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10</w:t>
            </w:r>
          </w:p>
        </w:tc>
        <w:tc>
          <w:tcPr>
            <w:tcW w:w="1163" w:type="pct"/>
            <w:shd w:val="clear" w:color="auto" w:fill="auto"/>
            <w:noWrap w:val="0"/>
            <w:vAlign w:val="center"/>
          </w:tcPr>
          <w:p w14:paraId="6AA47708">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center"/>
              <w:rPr>
                <w:rFonts w:hint="eastAsia" w:ascii="宋体" w:hAnsi="宋体" w:eastAsia="宋体" w:cs="宋体"/>
                <w:sz w:val="21"/>
                <w:szCs w:val="21"/>
              </w:rPr>
            </w:pPr>
          </w:p>
          <w:p w14:paraId="05404AD8">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drawing>
                <wp:anchor distT="0" distB="0" distL="114300" distR="114300" simplePos="0" relativeHeight="251662336" behindDoc="1" locked="0" layoutInCell="1" allowOverlap="1">
                  <wp:simplePos x="0" y="0"/>
                  <wp:positionH relativeFrom="column">
                    <wp:posOffset>66675</wp:posOffset>
                  </wp:positionH>
                  <wp:positionV relativeFrom="paragraph">
                    <wp:posOffset>460375</wp:posOffset>
                  </wp:positionV>
                  <wp:extent cx="780415" cy="2788920"/>
                  <wp:effectExtent l="0" t="0" r="635" b="11430"/>
                  <wp:wrapNone/>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10"/>
                          <a:srcRect l="21884" t="1463" r="24733" b="2634"/>
                          <a:stretch>
                            <a:fillRect/>
                          </a:stretch>
                        </pic:blipFill>
                        <pic:spPr>
                          <a:xfrm>
                            <a:off x="0" y="0"/>
                            <a:ext cx="780415" cy="2788920"/>
                          </a:xfrm>
                          <a:prstGeom prst="rect">
                            <a:avLst/>
                          </a:prstGeom>
                          <a:noFill/>
                          <a:ln w="12700">
                            <a:noFill/>
                          </a:ln>
                        </pic:spPr>
                      </pic:pic>
                    </a:graphicData>
                  </a:graphic>
                </wp:anchor>
              </w:drawing>
            </w:r>
            <w:r>
              <w:rPr>
                <w:rFonts w:hint="eastAsia" w:ascii="宋体" w:hAnsi="宋体" w:eastAsia="宋体" w:cs="宋体"/>
                <w:sz w:val="21"/>
                <w:szCs w:val="21"/>
              </w:rPr>
              <w:drawing>
                <wp:anchor distT="0" distB="0" distL="114300" distR="114300" simplePos="0" relativeHeight="251662336" behindDoc="1" locked="0" layoutInCell="1" allowOverlap="1">
                  <wp:simplePos x="0" y="0"/>
                  <wp:positionH relativeFrom="column">
                    <wp:posOffset>120015</wp:posOffset>
                  </wp:positionH>
                  <wp:positionV relativeFrom="paragraph">
                    <wp:posOffset>3922395</wp:posOffset>
                  </wp:positionV>
                  <wp:extent cx="762635" cy="2866390"/>
                  <wp:effectExtent l="0" t="0" r="18415" b="10160"/>
                  <wp:wrapNone/>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11"/>
                          <a:srcRect l="10148" t="2866" r="9852" b="1791"/>
                          <a:stretch>
                            <a:fillRect/>
                          </a:stretch>
                        </pic:blipFill>
                        <pic:spPr>
                          <a:xfrm>
                            <a:off x="0" y="0"/>
                            <a:ext cx="762635" cy="2866390"/>
                          </a:xfrm>
                          <a:prstGeom prst="rect">
                            <a:avLst/>
                          </a:prstGeom>
                          <a:noFill/>
                          <a:ln w="12700">
                            <a:noFill/>
                          </a:ln>
                        </pic:spPr>
                      </pic:pic>
                    </a:graphicData>
                  </a:graphic>
                </wp:anchor>
              </w:drawing>
            </w:r>
          </w:p>
        </w:tc>
      </w:tr>
      <w:tr w14:paraId="6859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19" w:hRule="atLeast"/>
          <w:tblHeader/>
          <w:jc w:val="center"/>
        </w:trPr>
        <w:tc>
          <w:tcPr>
            <w:tcW w:w="712" w:type="pct"/>
            <w:shd w:val="clear" w:color="auto" w:fill="auto"/>
            <w:noWrap w:val="0"/>
            <w:vAlign w:val="center"/>
          </w:tcPr>
          <w:p w14:paraId="02F6E0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7AC483C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7355A8B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品牌：启功</w:t>
            </w:r>
          </w:p>
          <w:p w14:paraId="338C95E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4BA8DF4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638026A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全自动液压式升降柱控制系统（1控8不锈钢防水控制箱）</w:t>
            </w:r>
          </w:p>
          <w:p w14:paraId="1D31E4A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tc>
        <w:tc>
          <w:tcPr>
            <w:tcW w:w="2540" w:type="pct"/>
            <w:shd w:val="clear" w:color="auto" w:fill="auto"/>
            <w:noWrap w:val="0"/>
            <w:vAlign w:val="center"/>
          </w:tcPr>
          <w:p w14:paraId="39F82BD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1、输入电压：AC 220V；</w:t>
            </w:r>
          </w:p>
          <w:p w14:paraId="64DCBBF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2、控制电压：≤DC 12V；</w:t>
            </w:r>
          </w:p>
          <w:p w14:paraId="46B9A0D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3、防护等级：IP54；</w:t>
            </w:r>
          </w:p>
          <w:p w14:paraId="5E082D6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4、控制方式：无线遥控；</w:t>
            </w:r>
          </w:p>
          <w:p w14:paraId="1D7ED50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5、安装方式：立式、挂式均可；</w:t>
            </w:r>
          </w:p>
          <w:p w14:paraId="37E2981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6、防顶车：设备应能通过接收地感线圈发送的禁止上升信号控制车辆通行过程中升降柱的上升；</w:t>
            </w:r>
          </w:p>
          <w:p w14:paraId="3ABDF73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7、应急按钮：控制柜主板上预留有紧急上升及下降按钮接口；</w:t>
            </w:r>
          </w:p>
          <w:p w14:paraId="2D14D35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8、应急电源：在停电时，可以通过应急电源泄压使升降柱下降，恢复供电后，备用电源复位。</w:t>
            </w:r>
          </w:p>
          <w:p w14:paraId="4A31149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9、联动接口：控制柜主板上预留可扩展警示灯、门禁系统、车牌识别、地感线圈、红外感应、蓝牙、射频（RFID）、远程控制（TCP/IP）、消防、治安等联动接口；（预留有功能端口）</w:t>
            </w:r>
          </w:p>
          <w:p w14:paraId="334A614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10、控制箱尺寸：600*500*200mm</w:t>
            </w:r>
          </w:p>
        </w:tc>
        <w:tc>
          <w:tcPr>
            <w:tcW w:w="282" w:type="pct"/>
            <w:shd w:val="clear" w:color="auto" w:fill="auto"/>
            <w:noWrap w:val="0"/>
            <w:vAlign w:val="center"/>
          </w:tcPr>
          <w:p w14:paraId="6E8503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套</w:t>
            </w:r>
          </w:p>
        </w:tc>
        <w:tc>
          <w:tcPr>
            <w:tcW w:w="300" w:type="pct"/>
            <w:shd w:val="clear" w:color="auto" w:fill="auto"/>
            <w:noWrap w:val="0"/>
            <w:vAlign w:val="center"/>
          </w:tcPr>
          <w:p w14:paraId="3511D7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2</w:t>
            </w:r>
          </w:p>
        </w:tc>
        <w:tc>
          <w:tcPr>
            <w:tcW w:w="1163" w:type="pct"/>
            <w:shd w:val="clear" w:color="auto" w:fill="auto"/>
            <w:noWrap w:val="0"/>
            <w:vAlign w:val="center"/>
          </w:tcPr>
          <w:p w14:paraId="0ADDB302">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3175</wp:posOffset>
                  </wp:positionV>
                  <wp:extent cx="1071245" cy="1437005"/>
                  <wp:effectExtent l="0" t="0" r="14605" b="10795"/>
                  <wp:wrapNone/>
                  <wp:docPr id="16" name="图片 16" descr="67c63d55266826af65f083472eeb6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7c63d55266826af65f083472eeb634a"/>
                          <pic:cNvPicPr>
                            <a:picLocks noChangeAspect="1"/>
                          </pic:cNvPicPr>
                        </pic:nvPicPr>
                        <pic:blipFill>
                          <a:blip r:embed="rId12"/>
                          <a:srcRect l="1474" t="550" r="-1474" b="-550"/>
                          <a:stretch>
                            <a:fillRect/>
                          </a:stretch>
                        </pic:blipFill>
                        <pic:spPr>
                          <a:xfrm>
                            <a:off x="0" y="0"/>
                            <a:ext cx="1071245" cy="1437005"/>
                          </a:xfrm>
                          <a:prstGeom prst="rect">
                            <a:avLst/>
                          </a:prstGeom>
                        </pic:spPr>
                      </pic:pic>
                    </a:graphicData>
                  </a:graphic>
                </wp:anchor>
              </w:drawing>
            </w:r>
          </w:p>
        </w:tc>
      </w:tr>
      <w:tr w14:paraId="19F1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blHeader/>
          <w:jc w:val="center"/>
        </w:trPr>
        <w:tc>
          <w:tcPr>
            <w:tcW w:w="712" w:type="pct"/>
            <w:shd w:val="clear" w:color="auto" w:fill="auto"/>
            <w:noWrap w:val="0"/>
            <w:vAlign w:val="center"/>
          </w:tcPr>
          <w:p w14:paraId="3C6DB0D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专用遥控器</w:t>
            </w:r>
          </w:p>
          <w:p w14:paraId="040A0CC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tc>
        <w:tc>
          <w:tcPr>
            <w:tcW w:w="2540" w:type="pct"/>
            <w:shd w:val="clear" w:color="auto" w:fill="auto"/>
            <w:noWrap w:val="0"/>
            <w:vAlign w:val="center"/>
          </w:tcPr>
          <w:p w14:paraId="7A6B90A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1.一个控制箱配2个无线遥控器；</w:t>
            </w:r>
          </w:p>
          <w:p w14:paraId="101EE0B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2.遥控距离30米-40米；</w:t>
            </w:r>
          </w:p>
          <w:p w14:paraId="29E0F93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3.规格尺寸115*50*15mm；</w:t>
            </w:r>
          </w:p>
          <w:p w14:paraId="5EEF8EC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sz w:val="21"/>
                <w:szCs w:val="21"/>
                <w:lang w:val="en-US" w:eastAsia="zh-CN"/>
              </w:rPr>
              <w:t>4.一个遥控最多可以控制8个升降柱；</w:t>
            </w:r>
          </w:p>
        </w:tc>
        <w:tc>
          <w:tcPr>
            <w:tcW w:w="282" w:type="pct"/>
            <w:shd w:val="clear" w:color="auto" w:fill="auto"/>
            <w:noWrap w:val="0"/>
            <w:vAlign w:val="center"/>
          </w:tcPr>
          <w:p w14:paraId="477A87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个</w:t>
            </w:r>
          </w:p>
        </w:tc>
        <w:tc>
          <w:tcPr>
            <w:tcW w:w="300" w:type="pct"/>
            <w:shd w:val="clear" w:color="auto" w:fill="auto"/>
            <w:noWrap w:val="0"/>
            <w:vAlign w:val="center"/>
          </w:tcPr>
          <w:p w14:paraId="16381A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4</w:t>
            </w:r>
          </w:p>
        </w:tc>
        <w:tc>
          <w:tcPr>
            <w:tcW w:w="1163" w:type="pct"/>
            <w:shd w:val="clear" w:color="auto" w:fill="auto"/>
            <w:noWrap w:val="0"/>
            <w:vAlign w:val="center"/>
          </w:tcPr>
          <w:p w14:paraId="0F8A3F9A">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drawing>
                <wp:anchor distT="0" distB="0" distL="114300" distR="114300" simplePos="0" relativeHeight="251662336" behindDoc="1" locked="0" layoutInCell="1" allowOverlap="1">
                  <wp:simplePos x="0" y="0"/>
                  <wp:positionH relativeFrom="column">
                    <wp:posOffset>396240</wp:posOffset>
                  </wp:positionH>
                  <wp:positionV relativeFrom="paragraph">
                    <wp:posOffset>3175</wp:posOffset>
                  </wp:positionV>
                  <wp:extent cx="285750" cy="629285"/>
                  <wp:effectExtent l="0" t="0" r="0" b="18415"/>
                  <wp:wrapNone/>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pic:cNvPicPr>
                        </pic:nvPicPr>
                        <pic:blipFill>
                          <a:blip r:embed="rId13"/>
                          <a:stretch>
                            <a:fillRect/>
                          </a:stretch>
                        </pic:blipFill>
                        <pic:spPr>
                          <a:xfrm>
                            <a:off x="0" y="0"/>
                            <a:ext cx="285750" cy="629285"/>
                          </a:xfrm>
                          <a:prstGeom prst="rect">
                            <a:avLst/>
                          </a:prstGeom>
                          <a:noFill/>
                          <a:ln>
                            <a:noFill/>
                          </a:ln>
                        </pic:spPr>
                      </pic:pic>
                    </a:graphicData>
                  </a:graphic>
                </wp:anchor>
              </w:drawing>
            </w:r>
          </w:p>
        </w:tc>
      </w:tr>
      <w:tr w14:paraId="7811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50" w:hRule="atLeast"/>
          <w:tblHeader/>
          <w:jc w:val="center"/>
        </w:trPr>
        <w:tc>
          <w:tcPr>
            <w:tcW w:w="712" w:type="pct"/>
            <w:shd w:val="clear" w:color="auto" w:fill="auto"/>
            <w:noWrap w:val="0"/>
            <w:vAlign w:val="center"/>
          </w:tcPr>
          <w:p w14:paraId="6BB9212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品牌:绿美之星</w:t>
            </w:r>
          </w:p>
          <w:p w14:paraId="6C73F9E8">
            <w:pPr>
              <w:keepNext w:val="0"/>
              <w:keepLines w:val="0"/>
              <w:pageBreakBefore w:val="0"/>
              <w:widowControl w:val="0"/>
              <w:wordWrap/>
              <w:overflowPunct/>
              <w:topLinePunct w:val="0"/>
              <w:bidi w:val="0"/>
              <w:spacing w:line="360" w:lineRule="exact"/>
              <w:ind w:firstLine="0" w:firstLineChars="0"/>
              <w:jc w:val="center"/>
              <w:rPr>
                <w:rFonts w:hint="eastAsia" w:ascii="宋体" w:hAnsi="宋体" w:eastAsia="宋体" w:cs="宋体"/>
                <w:b/>
                <w:bCs/>
                <w:kern w:val="2"/>
                <w:sz w:val="21"/>
                <w:szCs w:val="21"/>
                <w:lang w:val="en-US" w:eastAsia="zh-CN" w:bidi="ar-SA"/>
              </w:rPr>
            </w:pPr>
          </w:p>
          <w:p w14:paraId="60C2C4C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排水系统</w:t>
            </w:r>
          </w:p>
        </w:tc>
        <w:tc>
          <w:tcPr>
            <w:tcW w:w="2540" w:type="pct"/>
            <w:shd w:val="clear" w:color="auto" w:fill="auto"/>
            <w:noWrap w:val="0"/>
            <w:vAlign w:val="center"/>
          </w:tcPr>
          <w:p w14:paraId="4CC8310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5A2A44B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1.水泵带有浮球;不锈钢材质，功率1100W，排水量:8m3/h，品牌:绿美之星</w:t>
            </w:r>
          </w:p>
          <w:p w14:paraId="16CC551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2.井盖为碳钢材质，直径350MM</w:t>
            </w:r>
          </w:p>
          <w:p w14:paraId="1D42BF8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3.蓄水管高度1米;直径320MM</w:t>
            </w:r>
          </w:p>
          <w:p w14:paraId="651C1BD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4.箱体内置排水控制器，具有漏电保护，根据水位自动控制污水泵运行</w:t>
            </w:r>
          </w:p>
          <w:p w14:paraId="526B52F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5.包含开槽</w:t>
            </w:r>
            <w:r>
              <w:rPr>
                <w:rFonts w:hint="eastAsia" w:ascii="宋体" w:hAnsi="宋体" w:eastAsia="宋体" w:cs="宋体"/>
                <w:sz w:val="21"/>
                <w:szCs w:val="21"/>
                <w:highlight w:val="none"/>
                <w:lang w:val="en-US" w:eastAsia="zh-CN"/>
              </w:rPr>
              <w:t>铺设排水管道，引至下水道或排水井等一切费用。</w:t>
            </w:r>
          </w:p>
        </w:tc>
        <w:tc>
          <w:tcPr>
            <w:tcW w:w="282" w:type="pct"/>
            <w:shd w:val="clear" w:color="auto" w:fill="auto"/>
            <w:noWrap w:val="0"/>
            <w:vAlign w:val="center"/>
          </w:tcPr>
          <w:p w14:paraId="58865F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套</w:t>
            </w:r>
          </w:p>
        </w:tc>
        <w:tc>
          <w:tcPr>
            <w:tcW w:w="300" w:type="pct"/>
            <w:shd w:val="clear" w:color="auto" w:fill="auto"/>
            <w:noWrap w:val="0"/>
            <w:vAlign w:val="center"/>
          </w:tcPr>
          <w:p w14:paraId="2CE0A28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2</w:t>
            </w:r>
          </w:p>
        </w:tc>
        <w:tc>
          <w:tcPr>
            <w:tcW w:w="1163" w:type="pct"/>
            <w:shd w:val="clear" w:color="auto" w:fill="auto"/>
            <w:noWrap w:val="0"/>
            <w:vAlign w:val="center"/>
          </w:tcPr>
          <w:p w14:paraId="68EA851D">
            <w:pPr>
              <w:keepNext w:val="0"/>
              <w:keepLines w:val="0"/>
              <w:pageBreakBefore w:val="0"/>
              <w:widowControl/>
              <w:suppressLineNumbers w:val="0"/>
              <w:wordWrap/>
              <w:overflowPunct/>
              <w:topLinePunct w:val="0"/>
              <w:bidi w:val="0"/>
              <w:spacing w:before="0" w:beforeAutospacing="0" w:after="0" w:afterAutospacing="0" w:line="360" w:lineRule="exact"/>
              <w:ind w:left="0" w:right="0" w:firstLine="0" w:firstLineChars="0"/>
              <w:jc w:val="left"/>
              <w:rPr>
                <w:rFonts w:hint="eastAsia" w:ascii="宋体" w:hAnsi="宋体" w:eastAsia="宋体" w:cs="宋体"/>
                <w:sz w:val="21"/>
                <w:szCs w:val="21"/>
              </w:rPr>
            </w:pPr>
          </w:p>
          <w:p w14:paraId="34AB971F">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kern w:val="0"/>
                <w:sz w:val="21"/>
                <w:szCs w:val="21"/>
                <w:lang w:val="en-US" w:eastAsia="zh-CN" w:bidi="ar"/>
              </w:rPr>
              <w:drawing>
                <wp:anchor distT="0" distB="0" distL="114300" distR="114300" simplePos="0" relativeHeight="251662336" behindDoc="1" locked="0" layoutInCell="1" allowOverlap="1">
                  <wp:simplePos x="0" y="0"/>
                  <wp:positionH relativeFrom="column">
                    <wp:posOffset>-9525</wp:posOffset>
                  </wp:positionH>
                  <wp:positionV relativeFrom="paragraph">
                    <wp:posOffset>757555</wp:posOffset>
                  </wp:positionV>
                  <wp:extent cx="428625" cy="476250"/>
                  <wp:effectExtent l="0" t="0" r="9525" b="0"/>
                  <wp:wrapNone/>
                  <wp:docPr id="3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IMG_256"/>
                          <pic:cNvPicPr>
                            <a:picLocks noChangeAspect="1"/>
                          </pic:cNvPicPr>
                        </pic:nvPicPr>
                        <pic:blipFill>
                          <a:blip r:embed="rId14"/>
                          <a:stretch>
                            <a:fillRect/>
                          </a:stretch>
                        </pic:blipFill>
                        <pic:spPr>
                          <a:xfrm>
                            <a:off x="0" y="0"/>
                            <a:ext cx="428625" cy="476250"/>
                          </a:xfrm>
                          <a:prstGeom prst="rect">
                            <a:avLst/>
                          </a:prstGeom>
                          <a:noFill/>
                          <a:ln w="9525">
                            <a:noFill/>
                          </a:ln>
                        </pic:spPr>
                      </pic:pic>
                    </a:graphicData>
                  </a:graphic>
                </wp:anchor>
              </w:drawing>
            </w:r>
            <w:r>
              <w:rPr>
                <w:rFonts w:hint="eastAsia" w:ascii="宋体" w:hAnsi="宋体" w:eastAsia="宋体" w:cs="宋体"/>
                <w:kern w:val="0"/>
                <w:sz w:val="21"/>
                <w:szCs w:val="21"/>
                <w:lang w:val="en-US" w:eastAsia="zh-CN" w:bidi="ar"/>
              </w:rPr>
              <w:drawing>
                <wp:anchor distT="0" distB="0" distL="114300" distR="114300" simplePos="0" relativeHeight="251662336" behindDoc="1" locked="0" layoutInCell="1" allowOverlap="1">
                  <wp:simplePos x="0" y="0"/>
                  <wp:positionH relativeFrom="column">
                    <wp:posOffset>542925</wp:posOffset>
                  </wp:positionH>
                  <wp:positionV relativeFrom="paragraph">
                    <wp:posOffset>262255</wp:posOffset>
                  </wp:positionV>
                  <wp:extent cx="314325" cy="514350"/>
                  <wp:effectExtent l="0" t="0" r="9525" b="0"/>
                  <wp:wrapNone/>
                  <wp:docPr id="2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6"/>
                          <pic:cNvPicPr>
                            <a:picLocks noChangeAspect="1"/>
                          </pic:cNvPicPr>
                        </pic:nvPicPr>
                        <pic:blipFill>
                          <a:blip r:embed="rId15"/>
                          <a:stretch>
                            <a:fillRect/>
                          </a:stretch>
                        </pic:blipFill>
                        <pic:spPr>
                          <a:xfrm>
                            <a:off x="0" y="0"/>
                            <a:ext cx="314325" cy="514350"/>
                          </a:xfrm>
                          <a:prstGeom prst="rect">
                            <a:avLst/>
                          </a:prstGeom>
                          <a:noFill/>
                          <a:ln w="9525">
                            <a:noFill/>
                          </a:ln>
                        </pic:spPr>
                      </pic:pic>
                    </a:graphicData>
                  </a:graphic>
                </wp:anchor>
              </w:drawing>
            </w:r>
            <w:r>
              <w:rPr>
                <w:rFonts w:hint="eastAsia" w:ascii="宋体" w:hAnsi="宋体" w:eastAsia="宋体" w:cs="宋体"/>
                <w:kern w:val="0"/>
                <w:sz w:val="21"/>
                <w:szCs w:val="21"/>
                <w:lang w:val="en-US" w:eastAsia="zh-CN" w:bidi="ar"/>
              </w:rPr>
              <w:drawing>
                <wp:anchor distT="0" distB="0" distL="114300" distR="114300" simplePos="0" relativeHeight="251662336" behindDoc="1" locked="0" layoutInCell="1" allowOverlap="1">
                  <wp:simplePos x="0" y="0"/>
                  <wp:positionH relativeFrom="column">
                    <wp:posOffset>-38100</wp:posOffset>
                  </wp:positionH>
                  <wp:positionV relativeFrom="paragraph">
                    <wp:posOffset>287655</wp:posOffset>
                  </wp:positionV>
                  <wp:extent cx="428625" cy="457200"/>
                  <wp:effectExtent l="0" t="0" r="9525" b="0"/>
                  <wp:wrapNone/>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16"/>
                          <a:stretch>
                            <a:fillRect/>
                          </a:stretch>
                        </pic:blipFill>
                        <pic:spPr>
                          <a:xfrm>
                            <a:off x="0" y="0"/>
                            <a:ext cx="428625" cy="457200"/>
                          </a:xfrm>
                          <a:prstGeom prst="rect">
                            <a:avLst/>
                          </a:prstGeom>
                          <a:noFill/>
                          <a:ln w="9525">
                            <a:noFill/>
                          </a:ln>
                        </pic:spPr>
                      </pic:pic>
                    </a:graphicData>
                  </a:graphic>
                </wp:anchor>
              </w:drawing>
            </w:r>
            <w:r>
              <w:rPr>
                <w:rFonts w:hint="eastAsia" w:ascii="宋体" w:hAnsi="宋体" w:eastAsia="宋体" w:cs="宋体"/>
                <w:kern w:val="0"/>
                <w:sz w:val="21"/>
                <w:szCs w:val="21"/>
                <w:lang w:val="en-US" w:eastAsia="zh-CN" w:bidi="ar"/>
              </w:rPr>
              <w:drawing>
                <wp:anchor distT="0" distB="0" distL="114300" distR="114300" simplePos="0" relativeHeight="251662336" behindDoc="1" locked="0" layoutInCell="1" allowOverlap="1">
                  <wp:simplePos x="0" y="0"/>
                  <wp:positionH relativeFrom="column">
                    <wp:posOffset>523875</wp:posOffset>
                  </wp:positionH>
                  <wp:positionV relativeFrom="paragraph">
                    <wp:posOffset>805180</wp:posOffset>
                  </wp:positionV>
                  <wp:extent cx="361950" cy="466725"/>
                  <wp:effectExtent l="0" t="0" r="0" b="9525"/>
                  <wp:wrapNone/>
                  <wp:docPr id="3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descr="IMG_256"/>
                          <pic:cNvPicPr>
                            <a:picLocks noChangeAspect="1"/>
                          </pic:cNvPicPr>
                        </pic:nvPicPr>
                        <pic:blipFill>
                          <a:blip r:embed="rId17"/>
                          <a:stretch>
                            <a:fillRect/>
                          </a:stretch>
                        </pic:blipFill>
                        <pic:spPr>
                          <a:xfrm>
                            <a:off x="0" y="0"/>
                            <a:ext cx="361950" cy="466725"/>
                          </a:xfrm>
                          <a:prstGeom prst="rect">
                            <a:avLst/>
                          </a:prstGeom>
                          <a:noFill/>
                          <a:ln w="9525">
                            <a:noFill/>
                          </a:ln>
                        </pic:spPr>
                      </pic:pic>
                    </a:graphicData>
                  </a:graphic>
                </wp:anchor>
              </w:drawing>
            </w:r>
          </w:p>
        </w:tc>
      </w:tr>
      <w:tr w14:paraId="4006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94" w:hRule="atLeast"/>
          <w:tblHeader/>
          <w:jc w:val="center"/>
        </w:trPr>
        <w:tc>
          <w:tcPr>
            <w:tcW w:w="712" w:type="pct"/>
            <w:shd w:val="clear" w:color="auto" w:fill="auto"/>
            <w:noWrap w:val="0"/>
            <w:vAlign w:val="center"/>
          </w:tcPr>
          <w:p w14:paraId="36CBFA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sz w:val="21"/>
                <w:szCs w:val="21"/>
                <w:lang w:val="en-US" w:eastAsia="zh-CN"/>
              </w:rPr>
              <w:t>电动液压升降柱安装施工</w:t>
            </w:r>
          </w:p>
        </w:tc>
        <w:tc>
          <w:tcPr>
            <w:tcW w:w="2540" w:type="pct"/>
            <w:shd w:val="clear" w:color="auto" w:fill="auto"/>
            <w:noWrap w:val="0"/>
            <w:vAlign w:val="center"/>
          </w:tcPr>
          <w:p w14:paraId="626869F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包含走线、接线、套管、主动排水、焊接角铁、设备调试，包含PVC线管、线材等相关一切费用。</w:t>
            </w:r>
          </w:p>
          <w:p w14:paraId="2334311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包含施工围挡（施工前准备）、开挖、浇筑、混凝土回填、沥青恢复地面、渣土运输、垃圾清运等项的人工、机械等相关一切费用。</w:t>
            </w:r>
          </w:p>
        </w:tc>
        <w:tc>
          <w:tcPr>
            <w:tcW w:w="282" w:type="pct"/>
            <w:shd w:val="clear" w:color="auto" w:fill="auto"/>
            <w:noWrap w:val="0"/>
            <w:vAlign w:val="center"/>
          </w:tcPr>
          <w:p w14:paraId="4D74BB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根</w:t>
            </w:r>
          </w:p>
        </w:tc>
        <w:tc>
          <w:tcPr>
            <w:tcW w:w="300" w:type="pct"/>
            <w:shd w:val="clear" w:color="auto" w:fill="auto"/>
            <w:noWrap w:val="0"/>
            <w:vAlign w:val="center"/>
          </w:tcPr>
          <w:p w14:paraId="21253E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10</w:t>
            </w:r>
          </w:p>
        </w:tc>
        <w:tc>
          <w:tcPr>
            <w:tcW w:w="1163" w:type="pct"/>
            <w:shd w:val="clear" w:color="auto" w:fill="auto"/>
            <w:noWrap w:val="0"/>
            <w:vAlign w:val="center"/>
          </w:tcPr>
          <w:p w14:paraId="1A5844E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1、包含升降柱到控制箱走线。</w:t>
            </w:r>
          </w:p>
          <w:p w14:paraId="6197F72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2、包含控制箱取总电走线。</w:t>
            </w:r>
          </w:p>
        </w:tc>
      </w:tr>
      <w:tr w14:paraId="2DC3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3" w:hRule="atLeast"/>
          <w:tblHeader/>
          <w:jc w:val="center"/>
        </w:trPr>
        <w:tc>
          <w:tcPr>
            <w:tcW w:w="712" w:type="pct"/>
            <w:shd w:val="clear" w:color="auto" w:fill="auto"/>
            <w:noWrap w:val="0"/>
            <w:vAlign w:val="center"/>
          </w:tcPr>
          <w:p w14:paraId="4582B5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质保期及售后</w:t>
            </w:r>
          </w:p>
        </w:tc>
        <w:tc>
          <w:tcPr>
            <w:tcW w:w="2540" w:type="pct"/>
            <w:shd w:val="clear" w:color="auto" w:fill="auto"/>
            <w:noWrap w:val="0"/>
            <w:vAlign w:val="center"/>
          </w:tcPr>
          <w:p w14:paraId="2D51C94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质量保证期（简称“质保期”）为设备自交付验收合格之日起</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对所提供设备实行包</w:t>
            </w:r>
            <w:r>
              <w:rPr>
                <w:rFonts w:hint="eastAsia" w:ascii="宋体" w:hAnsi="宋体" w:eastAsia="宋体" w:cs="宋体"/>
                <w:sz w:val="21"/>
                <w:szCs w:val="21"/>
                <w:highlight w:val="none"/>
                <w:lang w:eastAsia="zh-CN"/>
              </w:rPr>
              <w:t>维</w:t>
            </w:r>
            <w:r>
              <w:rPr>
                <w:rFonts w:hint="eastAsia" w:ascii="宋体" w:hAnsi="宋体" w:eastAsia="宋体" w:cs="宋体"/>
                <w:sz w:val="21"/>
                <w:szCs w:val="21"/>
                <w:highlight w:val="none"/>
              </w:rPr>
              <w:t>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包换</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rPr>
              <w:t>免费更换损坏零部件</w:t>
            </w:r>
            <w:r>
              <w:rPr>
                <w:rFonts w:hint="eastAsia" w:ascii="宋体" w:hAnsi="宋体" w:eastAsia="宋体" w:cs="宋体"/>
                <w:sz w:val="21"/>
                <w:szCs w:val="21"/>
                <w:highlight w:val="none"/>
              </w:rPr>
              <w:t>、</w:t>
            </w:r>
            <w:r>
              <w:rPr>
                <w:rFonts w:hint="eastAsia" w:ascii="宋体" w:hAnsi="宋体" w:eastAsia="宋体" w:cs="宋体"/>
                <w:sz w:val="21"/>
                <w:szCs w:val="21"/>
              </w:rPr>
              <w:t>免费维修</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）、包</w:t>
            </w:r>
            <w:r>
              <w:rPr>
                <w:rFonts w:hint="eastAsia" w:ascii="宋体" w:hAnsi="宋体" w:eastAsia="宋体" w:cs="宋体"/>
                <w:sz w:val="21"/>
                <w:szCs w:val="21"/>
                <w:highlight w:val="none"/>
              </w:rPr>
              <w:t>保养以及软件终身免费升级，</w:t>
            </w:r>
            <w:r>
              <w:rPr>
                <w:rFonts w:hint="eastAsia" w:ascii="宋体" w:hAnsi="宋体" w:eastAsia="宋体" w:cs="宋体"/>
                <w:sz w:val="21"/>
                <w:szCs w:val="21"/>
                <w:highlight w:val="none"/>
                <w:lang w:eastAsia="zh-CN"/>
              </w:rPr>
              <w:t>包括但不限于免费更换零部件、人工费等一切费用，采购人不再支付任何费用，</w:t>
            </w:r>
            <w:r>
              <w:rPr>
                <w:rFonts w:hint="eastAsia" w:ascii="宋体" w:hAnsi="宋体" w:eastAsia="宋体" w:cs="宋体"/>
                <w:sz w:val="21"/>
                <w:szCs w:val="21"/>
                <w:highlight w:val="none"/>
              </w:rPr>
              <w:t>期满后可同时提供终身有偿维修保养服务</w:t>
            </w:r>
            <w:r>
              <w:rPr>
                <w:rFonts w:hint="eastAsia" w:ascii="宋体" w:hAnsi="宋体" w:eastAsia="宋体" w:cs="宋体"/>
                <w:sz w:val="21"/>
                <w:szCs w:val="21"/>
                <w:highlight w:val="none"/>
                <w:lang w:eastAsia="zh-CN"/>
              </w:rPr>
              <w:t>方案。</w:t>
            </w:r>
          </w:p>
        </w:tc>
        <w:tc>
          <w:tcPr>
            <w:tcW w:w="282" w:type="pct"/>
            <w:shd w:val="clear" w:color="auto" w:fill="auto"/>
            <w:noWrap w:val="0"/>
            <w:vAlign w:val="center"/>
          </w:tcPr>
          <w:p w14:paraId="2DA746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000000"/>
                <w:kern w:val="0"/>
                <w:sz w:val="21"/>
                <w:szCs w:val="21"/>
                <w:lang w:val="en-US" w:eastAsia="zh-CN" w:bidi="ar"/>
              </w:rPr>
            </w:pPr>
            <w:r>
              <w:rPr>
                <w:rFonts w:hint="eastAsia" w:ascii="宋体" w:hAnsi="宋体" w:eastAsia="宋体" w:cs="宋体"/>
                <w:i w:val="0"/>
                <w:iCs w:val="0"/>
                <w:snapToGrid/>
                <w:color w:val="000000"/>
                <w:kern w:val="0"/>
                <w:sz w:val="21"/>
                <w:szCs w:val="21"/>
                <w:lang w:val="en-US" w:eastAsia="zh-CN" w:bidi="ar"/>
              </w:rPr>
              <w:t>项</w:t>
            </w:r>
          </w:p>
        </w:tc>
        <w:tc>
          <w:tcPr>
            <w:tcW w:w="300" w:type="pct"/>
            <w:shd w:val="clear" w:color="auto" w:fill="auto"/>
            <w:noWrap w:val="0"/>
            <w:vAlign w:val="center"/>
          </w:tcPr>
          <w:p w14:paraId="10C4D8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000000"/>
                <w:kern w:val="0"/>
                <w:sz w:val="21"/>
                <w:szCs w:val="21"/>
                <w:lang w:val="en-US" w:eastAsia="zh-CN" w:bidi="ar"/>
              </w:rPr>
            </w:pPr>
            <w:r>
              <w:rPr>
                <w:rFonts w:hint="eastAsia" w:ascii="宋体" w:hAnsi="宋体" w:eastAsia="宋体" w:cs="宋体"/>
                <w:i w:val="0"/>
                <w:iCs w:val="0"/>
                <w:snapToGrid/>
                <w:color w:val="000000"/>
                <w:kern w:val="0"/>
                <w:sz w:val="21"/>
                <w:szCs w:val="21"/>
                <w:lang w:val="en-US" w:eastAsia="zh-CN" w:bidi="ar"/>
              </w:rPr>
              <w:t>1</w:t>
            </w:r>
          </w:p>
        </w:tc>
        <w:tc>
          <w:tcPr>
            <w:tcW w:w="1163" w:type="pct"/>
            <w:shd w:val="clear" w:color="auto" w:fill="auto"/>
            <w:noWrap w:val="0"/>
            <w:vAlign w:val="center"/>
          </w:tcPr>
          <w:p w14:paraId="54D1E65B">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质保期：5年；</w:t>
            </w:r>
          </w:p>
          <w:p w14:paraId="6EE2BDEA">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10根电动液压升降柱及相关配套设备（包含控制系统等）</w:t>
            </w:r>
          </w:p>
        </w:tc>
      </w:tr>
    </w:tbl>
    <w:p w14:paraId="6368CE64">
      <w:pPr>
        <w:pageBreakBefore w:val="0"/>
        <w:numPr>
          <w:ilvl w:val="0"/>
          <w:numId w:val="0"/>
        </w:numPr>
        <w:kinsoku/>
        <w:wordWrap/>
        <w:overflowPunct/>
        <w:topLinePunct w:val="0"/>
        <w:bidi w:val="0"/>
        <w:adjustRightInd/>
        <w:snapToGrid/>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（二）施工要求:</w:t>
      </w:r>
    </w:p>
    <w:p w14:paraId="35D76345">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1、施工前准备</w:t>
      </w:r>
    </w:p>
    <w:p w14:paraId="6FF8E817">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升降柱的安装及施工由中标方提供施工图纸及设备图纸，整个施工过程需要仔细查阅现有管路的情况以避免因开挖造成现有管道的损坏，如施工过程中造成现有管道损坏的，中标方需无条件恢复原状。路面开挖施工前涉及城管备案的由中标方负责。需提前在施工图纸上绘出需要施工的位置，路线和深度，并通过有效的测试加以保障。</w:t>
      </w:r>
    </w:p>
    <w:p w14:paraId="277E1436">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2、实施施工要求</w:t>
      </w:r>
    </w:p>
    <w:p w14:paraId="50558C35">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1)放线、切割。根据施工图纸尺寸，画好线条后，使用切割机将路面切开。</w:t>
      </w:r>
      <w:r>
        <w:rPr>
          <w:rFonts w:hint="eastAsia" w:ascii="宋体" w:hAnsi="宋体" w:eastAsia="宋体" w:cs="宋体"/>
          <w:sz w:val="21"/>
          <w:szCs w:val="21"/>
          <w:highlight w:val="none"/>
          <w:lang w:val="en-US" w:eastAsia="zh-CN"/>
        </w:rPr>
        <w:tab/>
      </w:r>
    </w:p>
    <w:p w14:paraId="7F94B8EF">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2)开挖、夯实。根据施工图纸，使用挖掘机或者人工开挖设计尺寸，并夯实。</w:t>
      </w:r>
    </w:p>
    <w:p w14:paraId="0092B63A">
      <w:pPr>
        <w:pageBreakBefore w:val="0"/>
        <w:widowControl w:val="0"/>
        <w:wordWrap/>
        <w:overflowPunct/>
        <w:topLinePunct w:val="0"/>
        <w:bidi w:val="0"/>
        <w:spacing w:line="360" w:lineRule="auto"/>
        <w:ind w:firstLine="420" w:firstLineChars="200"/>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3）制作垫层。使用C25混凝土(250mm厚，长6000mm,宽800mm,1层钢筋结构)</w:t>
      </w:r>
    </w:p>
    <w:p w14:paraId="115AB735">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制作排水系统。铺设排水管道，引至下水道或排水井，注意设置15°坡度，在升降柱安置点位置设置三通，并使用砖块和混凝土制作基座，要求基座表面至地面距离大于升降柱外筒高度2公分，以方便调节升降柱水平。</w:t>
      </w:r>
    </w:p>
    <w:p w14:paraId="329092BE">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5)放置升降柱。将升降柱底部排水口与三通接口对齐放置，注意调节升降柱位置，保持升降柱垂直、法兰面与地平面平齐，并与其它升降柱处在同一条直线上。</w:t>
      </w:r>
    </w:p>
    <w:p w14:paraId="19F4433D">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6)固定升降柱。将升降柱固定，并确保升降柱的正确位置，待其凝固后，混凝土浇筑至合适位置。</w:t>
      </w:r>
    </w:p>
    <w:p w14:paraId="5DC6BE84">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7)连接管线。接驳各种管线至控制柜。</w:t>
      </w:r>
    </w:p>
    <w:p w14:paraId="458FB4D1">
      <w:pPr>
        <w:pageBreakBefore w:val="0"/>
        <w:widowControl w:val="0"/>
        <w:wordWrap/>
        <w:overflowPunct/>
        <w:topLinePunct w:val="0"/>
        <w:bidi w:val="0"/>
        <w:spacing w:line="360" w:lineRule="auto"/>
        <w:ind w:firstLine="420" w:firstLineChars="200"/>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8)回填。使用C30混凝土。</w:t>
      </w:r>
    </w:p>
    <w:p w14:paraId="46BF3CC3">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9)路面恢复处理。北门、南门：</w:t>
      </w:r>
      <w:r>
        <w:rPr>
          <w:rFonts w:hint="eastAsia" w:ascii="宋体" w:hAnsi="宋体" w:eastAsia="宋体" w:cs="宋体"/>
          <w:b w:val="0"/>
          <w:bCs w:val="0"/>
          <w:kern w:val="2"/>
          <w:sz w:val="21"/>
          <w:szCs w:val="21"/>
          <w:highlight w:val="none"/>
          <w:lang w:val="en-US" w:eastAsia="zh-CN" w:bidi="ar-SA"/>
        </w:rPr>
        <w:t>使用沥青</w:t>
      </w:r>
      <w:r>
        <w:rPr>
          <w:rFonts w:hint="eastAsia" w:ascii="宋体" w:hAnsi="宋体" w:eastAsia="宋体" w:cs="宋体"/>
          <w:sz w:val="21"/>
          <w:szCs w:val="21"/>
          <w:highlight w:val="none"/>
          <w:lang w:val="en-US" w:eastAsia="zh-CN"/>
        </w:rPr>
        <w:t>浇筑至路面合适距离和高度，做到路面平整，不积水，不渗水。</w:t>
      </w:r>
    </w:p>
    <w:p w14:paraId="32F60646">
      <w:pPr>
        <w:keepNext/>
        <w:keepLines/>
        <w:pageBreakBefore w:val="0"/>
        <w:widowControl w:val="0"/>
        <w:kinsoku/>
        <w:wordWrap/>
        <w:overflowPunct/>
        <w:topLinePunct w:val="0"/>
        <w:bidi w:val="0"/>
        <w:adjustRightInd/>
        <w:snapToGrid/>
        <w:spacing w:before="0" w:after="0" w:line="360" w:lineRule="auto"/>
        <w:ind w:firstLine="422" w:firstLineChars="200"/>
        <w:jc w:val="both"/>
        <w:outlineLvl w:val="3"/>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三、商务要求</w:t>
      </w:r>
    </w:p>
    <w:p w14:paraId="05983BB2">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b/>
          <w:bCs/>
          <w:color w:val="00000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一</w:t>
      </w:r>
      <w:r>
        <w:rPr>
          <w:rFonts w:hint="eastAsia" w:ascii="宋体" w:hAnsi="宋体" w:eastAsia="宋体" w:cs="宋体"/>
          <w:b w:val="0"/>
          <w:bCs w:val="0"/>
          <w:sz w:val="21"/>
          <w:szCs w:val="21"/>
          <w:highlight w:val="none"/>
        </w:rPr>
        <w:t>）基本</w:t>
      </w:r>
      <w:r>
        <w:rPr>
          <w:rFonts w:hint="eastAsia" w:ascii="宋体" w:hAnsi="宋体" w:eastAsia="宋体" w:cs="宋体"/>
          <w:b w:val="0"/>
          <w:bCs w:val="0"/>
          <w:color w:val="000000"/>
          <w:sz w:val="21"/>
          <w:szCs w:val="21"/>
          <w:highlight w:val="none"/>
        </w:rPr>
        <w:t>要求</w:t>
      </w:r>
    </w:p>
    <w:p w14:paraId="62AFAB56">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合同履行期限</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自合同签订之日起十五个工作日内完成。</w:t>
      </w:r>
    </w:p>
    <w:p w14:paraId="72856F5C">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2.交货方式：</w:t>
      </w:r>
      <w:r>
        <w:rPr>
          <w:rFonts w:hint="eastAsia" w:ascii="宋体" w:hAnsi="宋体" w:eastAsia="宋体" w:cs="宋体"/>
          <w:sz w:val="21"/>
          <w:szCs w:val="21"/>
          <w:highlight w:val="none"/>
          <w:lang w:val="en-US" w:eastAsia="zh-CN"/>
        </w:rPr>
        <w:t>现场交货</w:t>
      </w:r>
    </w:p>
    <w:p w14:paraId="6F3D7C23">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3.交货地点：</w:t>
      </w:r>
      <w:r>
        <w:rPr>
          <w:rFonts w:hint="eastAsia" w:ascii="宋体" w:hAnsi="宋体" w:eastAsia="宋体" w:cs="宋体"/>
          <w:color w:val="auto"/>
          <w:sz w:val="21"/>
          <w:szCs w:val="21"/>
          <w:highlight w:val="none"/>
          <w:lang w:val="en-US" w:eastAsia="zh-CN"/>
        </w:rPr>
        <w:t>广东省广州市白云区石井石潭路376号</w:t>
      </w:r>
    </w:p>
    <w:p w14:paraId="238F56C8">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二</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eastAsia="zh-CN"/>
        </w:rPr>
        <w:t>货物质量要求</w:t>
      </w:r>
    </w:p>
    <w:p w14:paraId="6CF4B3A5">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1.货物为原制造商制造的全新产品，</w:t>
      </w:r>
      <w:r>
        <w:rPr>
          <w:rFonts w:hint="eastAsia" w:ascii="宋体" w:hAnsi="宋体" w:eastAsia="宋体" w:cs="宋体"/>
          <w:sz w:val="21"/>
          <w:szCs w:val="21"/>
          <w:highlight w:val="none"/>
          <w:lang w:val="en-US" w:eastAsia="zh-CN"/>
        </w:rPr>
        <w:t>整体</w:t>
      </w:r>
      <w:r>
        <w:rPr>
          <w:rFonts w:hint="eastAsia" w:ascii="宋体" w:hAnsi="宋体" w:eastAsia="宋体" w:cs="宋体"/>
          <w:sz w:val="21"/>
          <w:szCs w:val="21"/>
          <w:highlight w:val="none"/>
        </w:rPr>
        <w:t>无污染，无侵权行为、表面无划损、无任何缺陷隐患，所有产品必须是在中国范围内合法销售，厂商原装、全新的产品，符合国家及该产品的出厂标准、安全标准及环保标准，并完全符合采购人要求。如因货物的质量问题造成事故的，</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 xml:space="preserve">须对此承担责任。  </w:t>
      </w:r>
    </w:p>
    <w:p w14:paraId="1D1B7789">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2.货物为原厂商未启封全新包装，具出厂合格证，序列号、包装箱号与出厂批号一致，并可追索查阅。</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外观清洁，标记编号以及盘面显示等</w:t>
      </w:r>
      <w:r>
        <w:rPr>
          <w:rFonts w:hint="eastAsia" w:ascii="宋体" w:hAnsi="宋体" w:eastAsia="宋体" w:cs="宋体"/>
          <w:sz w:val="21"/>
          <w:szCs w:val="21"/>
          <w:highlight w:val="none"/>
          <w:lang w:val="en-US" w:eastAsia="zh-CN"/>
        </w:rPr>
        <w:t>信息</w:t>
      </w:r>
      <w:r>
        <w:rPr>
          <w:rFonts w:hint="eastAsia" w:ascii="宋体" w:hAnsi="宋体" w:eastAsia="宋体" w:cs="宋体"/>
          <w:sz w:val="21"/>
          <w:szCs w:val="21"/>
          <w:highlight w:val="none"/>
        </w:rPr>
        <w:t xml:space="preserve">字体清晰，明确。所有产品、设备提供出厂合格证等质量证明文件。  </w:t>
      </w:r>
    </w:p>
    <w:p w14:paraId="0704C185">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的用户手册、保修手册、有关单证资料及配备件、随机工具等，使用操作及安全须知等重要资料应附有中文说明。对于影响</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 xml:space="preserve">正常工作的必要组成部分，无论在技术规范中指出与否，投标人都应提供在投标文件中明确列出。  </w:t>
      </w:r>
    </w:p>
    <w:p w14:paraId="1E2D91F5">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4.提供的产品不侵犯任何第三方的专利、商标或版权。否则，</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须承担对第三方的专利或版权的侵权责任并承担因此而发生的所有费用。</w:t>
      </w:r>
    </w:p>
    <w:p w14:paraId="5508F18F">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三</w:t>
      </w:r>
      <w:r>
        <w:rPr>
          <w:rFonts w:hint="eastAsia" w:ascii="宋体" w:hAnsi="宋体" w:eastAsia="宋体" w:cs="宋体"/>
          <w:b w:val="0"/>
          <w:bCs w:val="0"/>
          <w:sz w:val="21"/>
          <w:szCs w:val="21"/>
          <w:highlight w:val="none"/>
        </w:rPr>
        <w:t>）包装、保险及发运、保管要求</w:t>
      </w:r>
    </w:p>
    <w:p w14:paraId="4436F218">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1.货物材料的包装必须是制造商原厂包装，其包装均应有良好的防湿、防锈、防潮、防雨、防腐及防碰撞的措施。</w:t>
      </w:r>
      <w:r>
        <w:rPr>
          <w:rFonts w:hint="eastAsia" w:ascii="宋体" w:hAnsi="宋体" w:eastAsia="宋体" w:cs="宋体"/>
          <w:sz w:val="21"/>
          <w:szCs w:val="21"/>
          <w:highlight w:val="none"/>
          <w:lang w:val="en-US" w:eastAsia="zh-CN"/>
        </w:rPr>
        <w:t>如装箱的</w:t>
      </w:r>
      <w:r>
        <w:rPr>
          <w:rFonts w:hint="eastAsia" w:ascii="宋体" w:hAnsi="宋体" w:eastAsia="宋体" w:cs="宋体"/>
          <w:sz w:val="21"/>
          <w:szCs w:val="21"/>
          <w:highlight w:val="none"/>
        </w:rPr>
        <w:t xml:space="preserve">必须提供装箱清单，按装箱清单验收货物。 </w:t>
      </w:r>
    </w:p>
    <w:p w14:paraId="14561847">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负责将货物材料全部运输，包括</w:t>
      </w:r>
      <w:r>
        <w:rPr>
          <w:rFonts w:hint="eastAsia" w:ascii="宋体" w:hAnsi="宋体" w:eastAsia="宋体" w:cs="宋体"/>
          <w:sz w:val="21"/>
          <w:szCs w:val="21"/>
          <w:highlight w:val="none"/>
          <w:lang w:val="en-US" w:eastAsia="zh-CN"/>
        </w:rPr>
        <w:t>货物材料</w:t>
      </w:r>
      <w:r>
        <w:rPr>
          <w:rFonts w:hint="eastAsia" w:ascii="宋体" w:hAnsi="宋体" w:eastAsia="宋体" w:cs="宋体"/>
          <w:sz w:val="21"/>
          <w:szCs w:val="21"/>
          <w:highlight w:val="none"/>
        </w:rPr>
        <w:t>装卸车、货物现场的搬运</w:t>
      </w:r>
      <w:r>
        <w:rPr>
          <w:rFonts w:hint="eastAsia" w:ascii="宋体" w:hAnsi="宋体" w:eastAsia="宋体" w:cs="宋体"/>
          <w:sz w:val="21"/>
          <w:szCs w:val="21"/>
          <w:highlight w:val="none"/>
          <w:lang w:val="en-US" w:eastAsia="zh-CN"/>
        </w:rPr>
        <w:t>等，具体搬运摆放按现场采购人要求执行</w:t>
      </w:r>
      <w:r>
        <w:rPr>
          <w:rFonts w:hint="eastAsia" w:ascii="宋体" w:hAnsi="宋体" w:eastAsia="宋体" w:cs="宋体"/>
          <w:sz w:val="21"/>
          <w:szCs w:val="21"/>
          <w:highlight w:val="none"/>
        </w:rPr>
        <w:t xml:space="preserve">。    </w:t>
      </w:r>
    </w:p>
    <w:p w14:paraId="3F4047CA">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.货物在现场的保管由</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 xml:space="preserve">负责，直至项目安装、验收完毕。  </w:t>
      </w:r>
    </w:p>
    <w:p w14:paraId="3AB14107">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.货物在系统安装调试验收合格前的保险由</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 xml:space="preserve">负责其派出的现场服务人员人身意外保险。  </w:t>
      </w:r>
    </w:p>
    <w:p w14:paraId="3D09CE66">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至采购人指定的使用现场的包装、保险及发运等环节和费用均由</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负责。</w:t>
      </w:r>
      <w:r>
        <w:rPr>
          <w:rFonts w:hint="eastAsia" w:ascii="宋体" w:hAnsi="宋体" w:eastAsia="宋体" w:cs="宋体"/>
          <w:sz w:val="21"/>
          <w:szCs w:val="21"/>
          <w:lang w:eastAsia="zh-CN"/>
        </w:rPr>
        <w:t>中标方</w:t>
      </w:r>
      <w:r>
        <w:rPr>
          <w:rFonts w:hint="eastAsia" w:ascii="宋体" w:hAnsi="宋体" w:eastAsia="宋体" w:cs="宋体"/>
          <w:sz w:val="21"/>
          <w:szCs w:val="21"/>
        </w:rPr>
        <w:t>因配送过程中发生任何人身财产损失以及全部致他人侵权的行为，由</w:t>
      </w:r>
      <w:r>
        <w:rPr>
          <w:rFonts w:hint="eastAsia" w:ascii="宋体" w:hAnsi="宋体" w:eastAsia="宋体" w:cs="宋体"/>
          <w:sz w:val="21"/>
          <w:szCs w:val="21"/>
          <w:lang w:eastAsia="zh-CN"/>
        </w:rPr>
        <w:t>中标方</w:t>
      </w:r>
      <w:r>
        <w:rPr>
          <w:rFonts w:hint="eastAsia" w:ascii="宋体" w:hAnsi="宋体" w:eastAsia="宋体" w:cs="宋体"/>
          <w:sz w:val="21"/>
          <w:szCs w:val="21"/>
        </w:rPr>
        <w:t>负责承担全部法律责任。</w:t>
      </w:r>
    </w:p>
    <w:p w14:paraId="7C399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四</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验收要求</w:t>
      </w:r>
    </w:p>
    <w:p w14:paraId="29FE2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b w:val="0"/>
          <w:kern w:val="2"/>
          <w:sz w:val="21"/>
          <w:szCs w:val="21"/>
          <w:highlight w:val="none"/>
          <w:lang w:val="en-US" w:eastAsia="zh-CN" w:bidi="ar-SA"/>
        </w:rPr>
        <w:t>中标方必须依照招标文件的要求和投标文件的承诺，将产品（或设备、系统）安装并调试至正常运行的最佳状态。</w:t>
      </w:r>
    </w:p>
    <w:p w14:paraId="28E31B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2.交付验收标准依次序对照适用标准为：</w:t>
      </w:r>
    </w:p>
    <w:p w14:paraId="3B246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①符合中华人民共和国国家安全质量标准、环保标准或行业标准；</w:t>
      </w:r>
    </w:p>
    <w:p w14:paraId="7795A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②符合招标文件和投标承诺中采购人认可的合理最佳配置、参数及各项要求；</w:t>
      </w:r>
    </w:p>
    <w:p w14:paraId="143039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③货物来源国官方标准。</w:t>
      </w:r>
    </w:p>
    <w:p w14:paraId="0C7E1B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3.货物为原厂商未启封全新包装，具出厂合格证，序列号、包装箱号与出厂批号一致，并可追索查阅。所有随设备的附件必须齐全.</w:t>
      </w:r>
    </w:p>
    <w:p w14:paraId="269C81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4.中标方应将关键主机设备的用户手册、保修手册、有关单证资料及配备件、随机工具等交付给采购人，使用操作及安全须知等重要资料应附有中文说明；</w:t>
      </w:r>
    </w:p>
    <w:p w14:paraId="77EDC0BB">
      <w:pPr>
        <w:pageBreakBefore w:val="0"/>
        <w:widowControl w:val="0"/>
        <w:kinsoku/>
        <w:wordWrap/>
        <w:overflowPunct/>
        <w:topLinePunct w:val="0"/>
        <w:bidi w:val="0"/>
        <w:adjustRightInd/>
        <w:snapToGrid/>
        <w:spacing w:line="36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方承担。</w:t>
      </w:r>
    </w:p>
    <w:p w14:paraId="32FD2517">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五</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质保期及售后服务要求</w:t>
      </w:r>
    </w:p>
    <w:p w14:paraId="282C105B">
      <w:pPr>
        <w:pageBreakBefore w:val="0"/>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1.质量保证期（简称“质保期”）为设备自交付验收合格之日起</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对所提供设备实行包</w:t>
      </w:r>
      <w:r>
        <w:rPr>
          <w:rFonts w:hint="eastAsia" w:ascii="宋体" w:hAnsi="宋体" w:eastAsia="宋体" w:cs="宋体"/>
          <w:sz w:val="21"/>
          <w:szCs w:val="21"/>
          <w:highlight w:val="none"/>
          <w:lang w:eastAsia="zh-CN"/>
        </w:rPr>
        <w:t>维</w:t>
      </w:r>
      <w:r>
        <w:rPr>
          <w:rFonts w:hint="eastAsia" w:ascii="宋体" w:hAnsi="宋体" w:eastAsia="宋体" w:cs="宋体"/>
          <w:sz w:val="21"/>
          <w:szCs w:val="21"/>
          <w:highlight w:val="none"/>
        </w:rPr>
        <w:t>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包换</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rPr>
        <w:t>免费更换损坏零部件</w:t>
      </w:r>
      <w:r>
        <w:rPr>
          <w:rFonts w:hint="eastAsia" w:ascii="宋体" w:hAnsi="宋体" w:eastAsia="宋体" w:cs="宋体"/>
          <w:sz w:val="21"/>
          <w:szCs w:val="21"/>
          <w:highlight w:val="none"/>
        </w:rPr>
        <w:t>、</w:t>
      </w:r>
      <w:r>
        <w:rPr>
          <w:rFonts w:hint="eastAsia" w:ascii="宋体" w:hAnsi="宋体" w:eastAsia="宋体" w:cs="宋体"/>
          <w:sz w:val="21"/>
          <w:szCs w:val="21"/>
        </w:rPr>
        <w:t>免费维修</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）、包</w:t>
      </w:r>
      <w:r>
        <w:rPr>
          <w:rFonts w:hint="eastAsia" w:ascii="宋体" w:hAnsi="宋体" w:eastAsia="宋体" w:cs="宋体"/>
          <w:sz w:val="21"/>
          <w:szCs w:val="21"/>
          <w:highlight w:val="none"/>
        </w:rPr>
        <w:t>保养以及软件终身免费升级，</w:t>
      </w:r>
      <w:r>
        <w:rPr>
          <w:rFonts w:hint="eastAsia" w:ascii="宋体" w:hAnsi="宋体" w:eastAsia="宋体" w:cs="宋体"/>
          <w:sz w:val="21"/>
          <w:szCs w:val="21"/>
          <w:highlight w:val="none"/>
          <w:lang w:eastAsia="zh-CN"/>
        </w:rPr>
        <w:t>包括但不限于免费更换零部件、人工费等一切费用，采购人不再支付任何费用，</w:t>
      </w:r>
      <w:r>
        <w:rPr>
          <w:rFonts w:hint="eastAsia" w:ascii="宋体" w:hAnsi="宋体" w:eastAsia="宋体" w:cs="宋体"/>
          <w:sz w:val="21"/>
          <w:szCs w:val="21"/>
          <w:highlight w:val="none"/>
        </w:rPr>
        <w:t>期满后可同时提供终身有偿维修保养服务</w:t>
      </w:r>
      <w:r>
        <w:rPr>
          <w:rFonts w:hint="eastAsia" w:ascii="宋体" w:hAnsi="宋体" w:eastAsia="宋体" w:cs="宋体"/>
          <w:sz w:val="21"/>
          <w:szCs w:val="21"/>
          <w:highlight w:val="none"/>
          <w:lang w:eastAsia="zh-CN"/>
        </w:rPr>
        <w:t>方案。</w:t>
      </w:r>
    </w:p>
    <w:p w14:paraId="1AC69BCF">
      <w:pPr>
        <w:pageBreakBefore w:val="0"/>
        <w:kinsoku/>
        <w:wordWrap/>
        <w:overflowPunct/>
        <w:topLinePunct w:val="0"/>
        <w:bidi w:val="0"/>
        <w:adjustRightInd/>
        <w:snapToGrid/>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质保期内</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提供上门免费服务，</w:t>
      </w:r>
      <w:r>
        <w:rPr>
          <w:rFonts w:hint="eastAsia" w:ascii="宋体" w:hAnsi="宋体" w:eastAsia="宋体" w:cs="宋体"/>
          <w:sz w:val="21"/>
          <w:szCs w:val="21"/>
          <w:highlight w:val="none"/>
          <w:lang w:val="en-US" w:eastAsia="zh-CN"/>
        </w:rPr>
        <w:t>并安排专门的联络人及电话，</w:t>
      </w:r>
      <w:r>
        <w:rPr>
          <w:rFonts w:hint="eastAsia" w:ascii="宋体" w:hAnsi="宋体" w:eastAsia="宋体" w:cs="宋体"/>
          <w:sz w:val="21"/>
          <w:szCs w:val="21"/>
          <w:highlight w:val="none"/>
        </w:rPr>
        <w:t>对采购人的服务通知，</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在接报后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小时内响应，</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小时内到达现场，</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内</w:t>
      </w:r>
      <w:r>
        <w:rPr>
          <w:rFonts w:hint="eastAsia" w:ascii="宋体" w:hAnsi="宋体" w:eastAsia="宋体" w:cs="宋体"/>
          <w:sz w:val="21"/>
          <w:szCs w:val="21"/>
          <w:highlight w:val="none"/>
        </w:rPr>
        <w:t>服务工程师处理完毕</w:t>
      </w:r>
      <w:r>
        <w:rPr>
          <w:rFonts w:hint="eastAsia" w:ascii="宋体" w:hAnsi="宋体" w:eastAsia="宋体" w:cs="宋体"/>
          <w:sz w:val="21"/>
          <w:szCs w:val="21"/>
          <w:highlight w:val="none"/>
          <w:lang w:eastAsia="zh-CN"/>
        </w:rPr>
        <w:t>，若要更换零配件的，时间可适当延后。</w:t>
      </w:r>
      <w:r>
        <w:rPr>
          <w:rFonts w:hint="eastAsia" w:ascii="宋体" w:hAnsi="宋体" w:eastAsia="宋体" w:cs="宋体"/>
          <w:sz w:val="21"/>
          <w:szCs w:val="21"/>
          <w:highlight w:val="none"/>
        </w:rPr>
        <w:t>若在</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小时内仍未能有效解决，双方协商解决，不得影响采购人的正常工作业务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质保期内</w:t>
      </w:r>
      <w:r>
        <w:rPr>
          <w:rFonts w:hint="eastAsia" w:ascii="宋体" w:hAnsi="宋体" w:eastAsia="宋体" w:cs="宋体"/>
          <w:sz w:val="21"/>
          <w:szCs w:val="21"/>
          <w:highlight w:val="none"/>
        </w:rPr>
        <w:t>上门保修</w:t>
      </w:r>
      <w:r>
        <w:rPr>
          <w:rFonts w:hint="eastAsia" w:ascii="宋体" w:hAnsi="宋体" w:eastAsia="宋体" w:cs="宋体"/>
          <w:sz w:val="21"/>
          <w:szCs w:val="21"/>
          <w:highlight w:val="none"/>
          <w:lang w:val="en-US" w:eastAsia="zh-CN"/>
        </w:rPr>
        <w:t>期间</w:t>
      </w:r>
      <w:r>
        <w:rPr>
          <w:rFonts w:hint="eastAsia" w:ascii="宋体" w:hAnsi="宋体" w:eastAsia="宋体" w:cs="宋体"/>
          <w:sz w:val="21"/>
          <w:szCs w:val="21"/>
          <w:highlight w:val="none"/>
        </w:rPr>
        <w:t>产生的费用</w:t>
      </w:r>
      <w:r>
        <w:rPr>
          <w:rFonts w:hint="eastAsia" w:ascii="宋体" w:hAnsi="宋体" w:eastAsia="宋体" w:cs="宋体"/>
          <w:sz w:val="21"/>
          <w:szCs w:val="21"/>
          <w:highlight w:val="none"/>
          <w:lang w:eastAsia="zh-CN"/>
        </w:rPr>
        <w:t>、</w:t>
      </w:r>
      <w:r>
        <w:rPr>
          <w:rFonts w:hint="eastAsia" w:ascii="宋体" w:hAnsi="宋体" w:eastAsia="宋体" w:cs="宋体"/>
          <w:sz w:val="21"/>
          <w:szCs w:val="21"/>
        </w:rPr>
        <w:t>发生任何人身财产损失以及全部致他人侵权的行为，</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承担</w:t>
      </w:r>
      <w:r>
        <w:rPr>
          <w:rFonts w:hint="eastAsia" w:ascii="宋体" w:hAnsi="宋体" w:eastAsia="宋体" w:cs="宋体"/>
          <w:sz w:val="21"/>
          <w:szCs w:val="21"/>
          <w:highlight w:val="none"/>
          <w:lang w:eastAsia="zh-CN"/>
        </w:rPr>
        <w:t>。</w:t>
      </w:r>
    </w:p>
    <w:p w14:paraId="27A56C0C">
      <w:pPr>
        <w:pageBreakBefore w:val="0"/>
        <w:kinsoku/>
        <w:wordWrap/>
        <w:overflowPunct/>
        <w:topLinePunct w:val="0"/>
        <w:bidi w:val="0"/>
        <w:adjustRightInd/>
        <w:snapToGrid/>
        <w:spacing w:line="360" w:lineRule="auto"/>
        <w:ind w:firstLine="444" w:firstLineChars="200"/>
        <w:rPr>
          <w:rFonts w:hint="eastAsia" w:ascii="宋体" w:hAnsi="宋体" w:eastAsia="宋体" w:cs="宋体"/>
          <w:sz w:val="21"/>
          <w:szCs w:val="21"/>
          <w:highlight w:val="none"/>
          <w:lang w:val="en-US" w:eastAsia="zh-CN"/>
        </w:rPr>
      </w:pPr>
      <w:r>
        <w:rPr>
          <w:rFonts w:hint="eastAsia" w:ascii="宋体" w:hAnsi="宋体" w:eastAsia="宋体" w:cs="宋体"/>
          <w:color w:val="000000"/>
          <w:spacing w:val="6"/>
          <w:sz w:val="21"/>
          <w:szCs w:val="21"/>
          <w:highlight w:val="none"/>
          <w:lang w:val="en-US" w:eastAsia="zh-CN"/>
        </w:rPr>
        <w:t>3.</w:t>
      </w:r>
      <w:r>
        <w:rPr>
          <w:rFonts w:hint="eastAsia" w:ascii="宋体" w:hAnsi="宋体" w:eastAsia="宋体" w:cs="宋体"/>
          <w:color w:val="000000"/>
          <w:sz w:val="21"/>
          <w:szCs w:val="21"/>
          <w:highlight w:val="none"/>
          <w:lang w:val="en-US" w:eastAsia="zh-CN"/>
        </w:rPr>
        <w:t>中标方</w:t>
      </w:r>
      <w:r>
        <w:rPr>
          <w:rFonts w:hint="eastAsia" w:ascii="宋体" w:hAnsi="宋体" w:eastAsia="宋体" w:cs="宋体"/>
          <w:color w:val="000000"/>
          <w:spacing w:val="6"/>
          <w:sz w:val="21"/>
          <w:szCs w:val="21"/>
          <w:highlight w:val="none"/>
        </w:rPr>
        <w:t>负责向采购人提供现场必要的维护保养培训</w:t>
      </w:r>
      <w:r>
        <w:rPr>
          <w:rFonts w:hint="eastAsia" w:ascii="宋体" w:hAnsi="宋体" w:eastAsia="宋体" w:cs="宋体"/>
          <w:color w:val="000000"/>
          <w:spacing w:val="6"/>
          <w:sz w:val="21"/>
          <w:szCs w:val="21"/>
          <w:highlight w:val="none"/>
          <w:lang w:eastAsia="zh-CN"/>
        </w:rPr>
        <w:t>。</w:t>
      </w:r>
    </w:p>
    <w:p w14:paraId="2FCEE4B0">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六</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付</w:t>
      </w:r>
      <w:r>
        <w:rPr>
          <w:rFonts w:hint="eastAsia" w:ascii="宋体" w:hAnsi="宋体" w:eastAsia="宋体" w:cs="宋体"/>
          <w:b w:val="0"/>
          <w:bCs w:val="0"/>
          <w:color w:val="000000"/>
          <w:sz w:val="21"/>
          <w:szCs w:val="21"/>
          <w:highlight w:val="none"/>
        </w:rPr>
        <w:t>款方式</w:t>
      </w:r>
    </w:p>
    <w:p w14:paraId="1F17BF7B">
      <w:pPr>
        <w:pageBreakBefore w:val="0"/>
        <w:widowControl w:val="0"/>
        <w:kinsoku/>
        <w:wordWrap/>
        <w:overflowPunct/>
        <w:topLinePunct w:val="0"/>
        <w:bidi w:val="0"/>
        <w:adjustRightInd/>
        <w:snapToGrid/>
        <w:spacing w:line="360" w:lineRule="auto"/>
        <w:ind w:firstLine="420" w:firstLineChars="200"/>
        <w:jc w:val="left"/>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bidi="ar-SA"/>
        </w:rPr>
        <w:t>1.银行转账方式，</w:t>
      </w:r>
      <w:r>
        <w:rPr>
          <w:rFonts w:hint="eastAsia" w:ascii="宋体" w:hAnsi="宋体" w:eastAsia="宋体" w:cs="宋体"/>
          <w:color w:val="000000"/>
          <w:kern w:val="2"/>
          <w:sz w:val="21"/>
          <w:szCs w:val="21"/>
          <w:highlight w:val="none"/>
          <w:lang w:val="zh-CN" w:eastAsia="zh-CN" w:bidi="ar-SA"/>
        </w:rPr>
        <w:t>项目验收合格后30日内支付合同金额的</w:t>
      </w:r>
      <w:r>
        <w:rPr>
          <w:rFonts w:hint="eastAsia" w:ascii="宋体" w:hAnsi="宋体" w:eastAsia="宋体" w:cs="宋体"/>
          <w:color w:val="000000"/>
          <w:kern w:val="2"/>
          <w:sz w:val="21"/>
          <w:szCs w:val="21"/>
          <w:highlight w:val="none"/>
          <w:lang w:val="en-US" w:eastAsia="zh-CN" w:bidi="ar-SA"/>
        </w:rPr>
        <w:t>100</w:t>
      </w:r>
      <w:r>
        <w:rPr>
          <w:rFonts w:hint="eastAsia" w:ascii="宋体" w:hAnsi="宋体" w:eastAsia="宋体" w:cs="宋体"/>
          <w:color w:val="000000"/>
          <w:kern w:val="2"/>
          <w:sz w:val="21"/>
          <w:szCs w:val="21"/>
          <w:highlight w:val="none"/>
          <w:lang w:val="zh-CN" w:eastAsia="zh-CN" w:bidi="ar-SA"/>
        </w:rPr>
        <w:t>%；</w:t>
      </w:r>
    </w:p>
    <w:p w14:paraId="19E4CF5C">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2.中标方</w:t>
      </w:r>
      <w:r>
        <w:rPr>
          <w:rFonts w:hint="eastAsia" w:ascii="宋体" w:hAnsi="宋体" w:eastAsia="宋体" w:cs="宋体"/>
          <w:color w:val="000000"/>
          <w:sz w:val="21"/>
          <w:szCs w:val="21"/>
          <w:highlight w:val="none"/>
          <w:lang w:val="zh-CN"/>
        </w:rPr>
        <w:t>凭以下有效文件结算：</w:t>
      </w:r>
    </w:p>
    <w:p w14:paraId="59C25F50">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zh-CN"/>
        </w:rPr>
        <w:t>）中标通知书；</w:t>
      </w:r>
    </w:p>
    <w:p w14:paraId="694FFDA8">
      <w:pPr>
        <w:pageBreakBefore w:val="0"/>
        <w:kinsoku/>
        <w:wordWrap/>
        <w:overflowPunct/>
        <w:topLinePunct w:val="0"/>
        <w:bidi w:val="0"/>
        <w:adjustRightInd/>
        <w:snapToGrid/>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）合同；</w:t>
      </w:r>
    </w:p>
    <w:p w14:paraId="694DA25C">
      <w:pPr>
        <w:pageBreakBefore w:val="0"/>
        <w:wordWrap/>
        <w:overflowPunct/>
        <w:topLinePunct w:val="0"/>
        <w:bidi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zh-CN"/>
        </w:rPr>
        <w:t>）中标方开具的正式发票；</w:t>
      </w:r>
    </w:p>
    <w:p w14:paraId="6FA5C7D9">
      <w:pPr>
        <w:pageBreakBefore w:val="0"/>
        <w:wordWrap/>
        <w:overflowPunct/>
        <w:topLinePunct w:val="0"/>
        <w:bidi w:val="0"/>
        <w:spacing w:line="36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4）验收报告。</w:t>
      </w:r>
    </w:p>
    <w:p w14:paraId="64A0C176">
      <w:pPr>
        <w:pageBreakBefore w:val="0"/>
        <w:widowControl/>
        <w:kinsoku/>
        <w:wordWrap/>
        <w:overflowPunct/>
        <w:topLinePunct w:val="0"/>
        <w:bidi w:val="0"/>
        <w:adjustRightInd/>
        <w:snapToGrid/>
        <w:spacing w:line="360" w:lineRule="auto"/>
        <w:ind w:firstLine="420" w:firstLineChars="200"/>
        <w:jc w:val="left"/>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注：具体支付情况以财政资金到位情况为准进行支付。</w:t>
      </w:r>
    </w:p>
    <w:p w14:paraId="403B0575">
      <w:pPr>
        <w:pageBreakBefore w:val="0"/>
        <w:wordWrap/>
        <w:overflowPunct/>
        <w:topLinePunct w:val="0"/>
        <w:bidi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lang w:val="en-US" w:eastAsia="zh-CN"/>
        </w:rPr>
        <w:t>（七）</w:t>
      </w:r>
      <w:r>
        <w:rPr>
          <w:rFonts w:hint="eastAsia" w:ascii="宋体" w:hAnsi="宋体" w:eastAsia="宋体" w:cs="宋体"/>
          <w:b w:val="0"/>
          <w:bCs w:val="0"/>
          <w:sz w:val="21"/>
          <w:szCs w:val="21"/>
        </w:rPr>
        <w:t>违约责任与赔偿损失</w:t>
      </w:r>
    </w:p>
    <w:p w14:paraId="26B42107">
      <w:pPr>
        <w:pageBreakBefore w:val="0"/>
        <w:wordWrap/>
        <w:overflowPunct/>
        <w:topLinePunct w:val="0"/>
        <w:bidi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 </w:t>
      </w:r>
      <w:r>
        <w:rPr>
          <w:rFonts w:hint="eastAsia" w:ascii="宋体" w:hAnsi="宋体" w:eastAsia="宋体" w:cs="宋体"/>
          <w:sz w:val="21"/>
          <w:szCs w:val="21"/>
        </w:rPr>
        <w:t>1.</w:t>
      </w:r>
      <w:r>
        <w:rPr>
          <w:rFonts w:hint="eastAsia" w:ascii="宋体" w:hAnsi="宋体" w:eastAsia="宋体" w:cs="宋体"/>
          <w:sz w:val="21"/>
          <w:szCs w:val="21"/>
          <w:lang w:eastAsia="zh-CN"/>
        </w:rPr>
        <w:t>中标方</w:t>
      </w:r>
      <w:r>
        <w:rPr>
          <w:rFonts w:hint="eastAsia" w:ascii="宋体" w:hAnsi="宋体" w:eastAsia="宋体" w:cs="宋体"/>
          <w:sz w:val="21"/>
          <w:szCs w:val="21"/>
        </w:rPr>
        <w:t>交付的货物及提供的服务不符合采购文件、报价文件或本合同规定的，用户单位有权拒收，要求</w:t>
      </w:r>
      <w:r>
        <w:rPr>
          <w:rFonts w:hint="eastAsia" w:ascii="宋体" w:hAnsi="宋体" w:eastAsia="宋体" w:cs="宋体"/>
          <w:sz w:val="21"/>
          <w:szCs w:val="21"/>
          <w:lang w:eastAsia="zh-CN"/>
        </w:rPr>
        <w:t>中标方</w:t>
      </w:r>
      <w:r>
        <w:rPr>
          <w:rFonts w:hint="eastAsia" w:ascii="宋体" w:hAnsi="宋体" w:eastAsia="宋体" w:cs="宋体"/>
          <w:sz w:val="21"/>
          <w:szCs w:val="21"/>
        </w:rPr>
        <w:t>返还已收取的款项，并且</w:t>
      </w:r>
      <w:r>
        <w:rPr>
          <w:rFonts w:hint="eastAsia" w:ascii="宋体" w:hAnsi="宋体" w:eastAsia="宋体" w:cs="宋体"/>
          <w:sz w:val="21"/>
          <w:szCs w:val="21"/>
          <w:lang w:eastAsia="zh-CN"/>
        </w:rPr>
        <w:t>中标方</w:t>
      </w:r>
      <w:r>
        <w:rPr>
          <w:rFonts w:hint="eastAsia" w:ascii="宋体" w:hAnsi="宋体" w:eastAsia="宋体" w:cs="宋体"/>
          <w:sz w:val="21"/>
          <w:szCs w:val="21"/>
        </w:rPr>
        <w:t>须向用户单位支付本合同总价</w:t>
      </w:r>
      <w:r>
        <w:rPr>
          <w:rFonts w:hint="eastAsia" w:ascii="宋体" w:hAnsi="宋体" w:eastAsia="宋体" w:cs="宋体"/>
          <w:sz w:val="21"/>
          <w:szCs w:val="21"/>
          <w:lang w:val="en-US" w:eastAsia="zh-CN"/>
        </w:rPr>
        <w:t>30%</w:t>
      </w:r>
      <w:r>
        <w:rPr>
          <w:rFonts w:hint="eastAsia" w:ascii="宋体" w:hAnsi="宋体" w:eastAsia="宋体" w:cs="宋体"/>
          <w:sz w:val="21"/>
          <w:szCs w:val="21"/>
        </w:rPr>
        <w:t xml:space="preserve">的违约金。 </w:t>
      </w:r>
    </w:p>
    <w:p w14:paraId="1E66DE06">
      <w:pPr>
        <w:pageBreakBefore w:val="0"/>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中标方</w:t>
      </w:r>
      <w:r>
        <w:rPr>
          <w:rFonts w:hint="eastAsia" w:ascii="宋体" w:hAnsi="宋体" w:eastAsia="宋体" w:cs="宋体"/>
          <w:sz w:val="21"/>
          <w:szCs w:val="21"/>
        </w:rPr>
        <w:t>未能按本合同规定的交货时间交付货物的/提供服务，从逾期之日起每日按本合同价</w:t>
      </w:r>
      <w:r>
        <w:rPr>
          <w:rFonts w:hint="eastAsia" w:ascii="宋体" w:hAnsi="宋体" w:eastAsia="宋体" w:cs="宋体"/>
          <w:sz w:val="21"/>
          <w:szCs w:val="21"/>
          <w:lang w:val="en-US" w:eastAsia="zh-CN"/>
        </w:rPr>
        <w:t>1%</w:t>
      </w:r>
      <w:r>
        <w:rPr>
          <w:rFonts w:hint="eastAsia" w:ascii="宋体" w:hAnsi="宋体" w:eastAsia="宋体" w:cs="宋体"/>
          <w:sz w:val="21"/>
          <w:szCs w:val="21"/>
        </w:rPr>
        <w:t>的数额向用户单位支付违约金；逾期15天以上（含15天）的，用户单位有权解除本合同，违约金不足以弥补用户单位经济损失的，用户单位有权继续向</w:t>
      </w:r>
      <w:r>
        <w:rPr>
          <w:rFonts w:hint="eastAsia" w:ascii="宋体" w:hAnsi="宋体" w:eastAsia="宋体" w:cs="宋体"/>
          <w:sz w:val="21"/>
          <w:szCs w:val="21"/>
          <w:lang w:eastAsia="zh-CN"/>
        </w:rPr>
        <w:t>中标方</w:t>
      </w:r>
      <w:r>
        <w:rPr>
          <w:rFonts w:hint="eastAsia" w:ascii="宋体" w:hAnsi="宋体" w:eastAsia="宋体" w:cs="宋体"/>
          <w:sz w:val="21"/>
          <w:szCs w:val="21"/>
        </w:rPr>
        <w:t>追索。</w:t>
      </w:r>
    </w:p>
    <w:p w14:paraId="4AB6853B">
      <w:pPr>
        <w:pageBreakBefore w:val="0"/>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.如未经用户单位书面同意，</w:t>
      </w:r>
      <w:r>
        <w:rPr>
          <w:rFonts w:hint="eastAsia" w:ascii="宋体" w:hAnsi="宋体" w:eastAsia="宋体" w:cs="宋体"/>
          <w:sz w:val="21"/>
          <w:szCs w:val="21"/>
          <w:lang w:eastAsia="zh-CN"/>
        </w:rPr>
        <w:t>中标方</w:t>
      </w:r>
      <w:r>
        <w:rPr>
          <w:rFonts w:hint="eastAsia" w:ascii="宋体" w:hAnsi="宋体" w:eastAsia="宋体" w:cs="宋体"/>
          <w:sz w:val="21"/>
          <w:szCs w:val="21"/>
        </w:rPr>
        <w:t>将本合同项下义务全部或部分转让给他人的，用户单位有权解除合同，</w:t>
      </w:r>
      <w:r>
        <w:rPr>
          <w:rFonts w:hint="eastAsia" w:ascii="宋体" w:hAnsi="宋体" w:eastAsia="宋体" w:cs="宋体"/>
          <w:sz w:val="21"/>
          <w:szCs w:val="21"/>
          <w:lang w:eastAsia="zh-CN"/>
        </w:rPr>
        <w:t>中标方</w:t>
      </w:r>
      <w:r>
        <w:rPr>
          <w:rFonts w:hint="eastAsia" w:ascii="宋体" w:hAnsi="宋体" w:eastAsia="宋体" w:cs="宋体"/>
          <w:sz w:val="21"/>
          <w:szCs w:val="21"/>
        </w:rPr>
        <w:t>除返还用户单位已支付的款项外，还应向用户单位支付合同总价的30%作为违约金。违约金不足抵偿用户单位损失的，用户单位有权继续向</w:t>
      </w:r>
      <w:r>
        <w:rPr>
          <w:rFonts w:hint="eastAsia" w:ascii="宋体" w:hAnsi="宋体" w:eastAsia="宋体" w:cs="宋体"/>
          <w:sz w:val="21"/>
          <w:szCs w:val="21"/>
          <w:lang w:eastAsia="zh-CN"/>
        </w:rPr>
        <w:t>中标方</w:t>
      </w:r>
      <w:r>
        <w:rPr>
          <w:rFonts w:hint="eastAsia" w:ascii="宋体" w:hAnsi="宋体" w:eastAsia="宋体" w:cs="宋体"/>
          <w:sz w:val="21"/>
          <w:szCs w:val="21"/>
        </w:rPr>
        <w:t xml:space="preserve">追索。 </w:t>
      </w:r>
    </w:p>
    <w:p w14:paraId="53D7FA7B">
      <w:pPr>
        <w:pageBreakBefore w:val="0"/>
        <w:wordWrap/>
        <w:overflowPunct/>
        <w:topLinePunct w:val="0"/>
        <w:bidi w:val="0"/>
        <w:spacing w:line="360" w:lineRule="auto"/>
        <w:ind w:firstLine="420" w:firstLineChars="200"/>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中标方</w:t>
      </w:r>
      <w:r>
        <w:rPr>
          <w:rFonts w:hint="eastAsia" w:ascii="宋体" w:hAnsi="宋体" w:eastAsia="宋体" w:cs="宋体"/>
          <w:sz w:val="21"/>
          <w:szCs w:val="21"/>
        </w:rPr>
        <w:t>提供的货物必须权属清楚，不存在任何形式的权利瑕疵，亦不得侵害他人的知识产权，否则构成对用户单位违约，并承担相应的赔偿责任。如有任何第三方向用户单位追索要求赔偿的，最终概由</w:t>
      </w:r>
      <w:r>
        <w:rPr>
          <w:rFonts w:hint="eastAsia" w:ascii="宋体" w:hAnsi="宋体" w:eastAsia="宋体" w:cs="宋体"/>
          <w:sz w:val="21"/>
          <w:szCs w:val="21"/>
          <w:lang w:eastAsia="zh-CN"/>
        </w:rPr>
        <w:t>中标方</w:t>
      </w:r>
      <w:r>
        <w:rPr>
          <w:rFonts w:hint="eastAsia" w:ascii="宋体" w:hAnsi="宋体" w:eastAsia="宋体" w:cs="宋体"/>
          <w:sz w:val="21"/>
          <w:szCs w:val="21"/>
        </w:rPr>
        <w:t>负责承担。</w:t>
      </w:r>
    </w:p>
    <w:p w14:paraId="2B0EF584">
      <w:pPr>
        <w:pageBreakBefore w:val="0"/>
        <w:numPr>
          <w:ilvl w:val="0"/>
          <w:numId w:val="0"/>
        </w:numPr>
        <w:kinsoku/>
        <w:wordWrap/>
        <w:overflowPunct/>
        <w:topLinePunct w:val="0"/>
        <w:bidi w:val="0"/>
        <w:adjustRightInd/>
        <w:snapToGrid/>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八</w:t>
      </w:r>
      <w:r>
        <w:rPr>
          <w:rFonts w:hint="eastAsia" w:ascii="宋体" w:hAnsi="宋体" w:eastAsia="宋体" w:cs="宋体"/>
          <w:b w:val="0"/>
          <w:bCs w:val="0"/>
          <w:sz w:val="21"/>
          <w:szCs w:val="21"/>
          <w:highlight w:val="none"/>
        </w:rPr>
        <w:t>）其他</w:t>
      </w:r>
      <w:r>
        <w:rPr>
          <w:rFonts w:hint="eastAsia" w:ascii="宋体" w:hAnsi="宋体" w:eastAsia="宋体" w:cs="宋体"/>
          <w:b w:val="0"/>
          <w:bCs w:val="0"/>
          <w:sz w:val="21"/>
          <w:szCs w:val="21"/>
          <w:highlight w:val="none"/>
          <w:lang w:val="en-US" w:eastAsia="zh-CN"/>
        </w:rPr>
        <w:t>要求</w:t>
      </w:r>
    </w:p>
    <w:p w14:paraId="3BAEBD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中标方需承担合同履行时所要尽的一切保密义务。对项目实施过程中的资料、数据及采购人相关工作秘密进行保密，未经采购人书面同意不得泄露，且保密责任不因合同的中止或解除而失效。如因中标方及项目相关人员涉密对采购人造成影响，采购人有权追究责任。</w:t>
      </w:r>
    </w:p>
    <w:p w14:paraId="3D9759E3">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2.其余未尽事项由采购人和中标方另行商定补充。</w:t>
      </w:r>
    </w:p>
    <w:p w14:paraId="6FD193A4">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textAlignment w:val="auto"/>
        <w:rPr>
          <w:rFonts w:ascii="宋体" w:cs="Tahoma"/>
          <w:b/>
          <w:bCs/>
          <w:color w:val="auto"/>
          <w:kern w:val="0"/>
          <w:sz w:val="21"/>
          <w:szCs w:val="21"/>
          <w:highlight w:val="none"/>
        </w:rPr>
      </w:pPr>
      <w:r>
        <w:rPr>
          <w:rFonts w:hint="eastAsia" w:ascii="宋体" w:hAnsi="宋体" w:cs="Tahoma"/>
          <w:b/>
          <w:bCs/>
          <w:color w:val="auto"/>
          <w:kern w:val="0"/>
          <w:sz w:val="21"/>
          <w:szCs w:val="21"/>
          <w:highlight w:val="none"/>
          <w:lang w:val="en-US" w:eastAsia="zh-CN"/>
        </w:rPr>
        <w:t>四、</w:t>
      </w:r>
      <w:r>
        <w:rPr>
          <w:rFonts w:hint="eastAsia" w:ascii="宋体" w:hAnsi="宋体" w:cs="Tahoma"/>
          <w:b/>
          <w:bCs/>
          <w:color w:val="auto"/>
          <w:kern w:val="0"/>
          <w:sz w:val="21"/>
          <w:szCs w:val="21"/>
          <w:highlight w:val="none"/>
        </w:rPr>
        <w:t>报价及其他情况说明</w:t>
      </w:r>
    </w:p>
    <w:p w14:paraId="1B6A3245">
      <w:pPr>
        <w:pStyle w:val="38"/>
        <w:widowControl/>
        <w:numPr>
          <w:ilvl w:val="0"/>
          <w:numId w:val="14"/>
        </w:numPr>
        <w:spacing w:before="75" w:after="75" w:line="360" w:lineRule="auto"/>
        <w:ind w:left="425" w:leftChars="0" w:hanging="425"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本项目以最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价</w:t>
      </w:r>
      <w:r>
        <w:rPr>
          <w:rFonts w:hint="eastAsia" w:ascii="宋体" w:hAnsi="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的方式确定成交商。报价时间截止后（时间以平台为准），系统按报价（经价格核准后的价格）由</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到</w:t>
      </w:r>
      <w:r>
        <w:rPr>
          <w:rFonts w:hint="eastAsia" w:ascii="宋体" w:hAnsi="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rPr>
        <w:t>顺序排列，报价最</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的为第一成交候选人，报价相同的，按报价时间在前的为第一成交候选人；报价次</w:t>
      </w:r>
      <w:r>
        <w:rPr>
          <w:rFonts w:hint="eastAsia" w:ascii="宋体" w:hAnsi="宋体" w:cs="宋体"/>
          <w:color w:val="auto"/>
          <w:kern w:val="0"/>
          <w:sz w:val="21"/>
          <w:szCs w:val="21"/>
          <w:highlight w:val="none"/>
          <w:lang w:val="en-US" w:eastAsia="zh-CN"/>
        </w:rPr>
        <w:t>低</w:t>
      </w:r>
      <w:r>
        <w:rPr>
          <w:rFonts w:hint="eastAsia" w:ascii="宋体" w:hAnsi="宋体" w:eastAsia="宋体" w:cs="宋体"/>
          <w:color w:val="auto"/>
          <w:kern w:val="0"/>
          <w:sz w:val="21"/>
          <w:szCs w:val="21"/>
          <w:highlight w:val="none"/>
        </w:rPr>
        <w:t>的为第二成交候选人，以此类推。</w:t>
      </w:r>
    </w:p>
    <w:p w14:paraId="7BF886B3">
      <w:pPr>
        <w:pStyle w:val="38"/>
        <w:widowControl/>
        <w:numPr>
          <w:ilvl w:val="0"/>
          <w:numId w:val="14"/>
        </w:numPr>
        <w:spacing w:before="75" w:after="75" w:line="360" w:lineRule="auto"/>
        <w:ind w:left="425" w:leftChars="0" w:hanging="425" w:firstLineChars="0"/>
        <w:jc w:val="left"/>
        <w:rPr>
          <w:color w:val="auto"/>
          <w:highlight w:val="none"/>
        </w:rPr>
      </w:pPr>
      <w:r>
        <w:rPr>
          <w:rFonts w:hint="eastAsia"/>
          <w:color w:val="auto"/>
          <w:highlight w:val="none"/>
          <w:lang w:eastAsia="zh-CN"/>
        </w:rPr>
        <w:t>竞价保证金：</w:t>
      </w:r>
      <w:r>
        <w:rPr>
          <w:rFonts w:hint="eastAsia" w:ascii="宋体" w:hAnsi="宋体" w:eastAsia="宋体" w:cs="宋体"/>
          <w:b w:val="0"/>
          <w:bCs/>
          <w:color w:val="auto"/>
          <w:sz w:val="21"/>
          <w:szCs w:val="21"/>
          <w:highlight w:val="none"/>
          <w:u w:val="none"/>
        </w:rPr>
        <w:t>￥</w:t>
      </w:r>
      <w:r>
        <w:rPr>
          <w:rFonts w:hint="eastAsia" w:ascii="宋体" w:hAnsi="宋体" w:cs="宋体"/>
          <w:b w:val="0"/>
          <w:bCs/>
          <w:color w:val="auto"/>
          <w:sz w:val="21"/>
          <w:szCs w:val="21"/>
          <w:highlight w:val="none"/>
          <w:u w:val="none"/>
          <w:lang w:val="en-US" w:eastAsia="zh-CN"/>
        </w:rPr>
        <w:t>0.00</w:t>
      </w:r>
      <w:r>
        <w:rPr>
          <w:rFonts w:hint="eastAsia" w:ascii="宋体" w:hAnsi="宋体" w:eastAsia="宋体" w:cs="宋体"/>
          <w:b w:val="0"/>
          <w:bCs/>
          <w:color w:val="auto"/>
          <w:sz w:val="21"/>
          <w:szCs w:val="21"/>
          <w:highlight w:val="none"/>
          <w:u w:val="none"/>
        </w:rPr>
        <w:t>元。</w:t>
      </w:r>
    </w:p>
    <w:p w14:paraId="7D00DAAB">
      <w:pPr>
        <w:rPr>
          <w:rFonts w:hint="eastAsia"/>
          <w:color w:val="auto"/>
          <w:highlight w:val="none"/>
        </w:rPr>
      </w:pPr>
      <w:r>
        <w:rPr>
          <w:rFonts w:hint="eastAsia"/>
          <w:color w:val="auto"/>
          <w:highlight w:val="none"/>
        </w:rPr>
        <w:br w:type="page"/>
      </w:r>
    </w:p>
    <w:p w14:paraId="1DDCA043">
      <w:pPr>
        <w:pStyle w:val="20"/>
        <w:spacing w:before="0" w:after="0"/>
        <w:rPr>
          <w:rFonts w:hint="eastAsia"/>
          <w:color w:val="auto"/>
          <w:highlight w:val="none"/>
        </w:rPr>
      </w:pPr>
      <w:r>
        <w:rPr>
          <w:rFonts w:hint="eastAsia"/>
          <w:color w:val="auto"/>
          <w:highlight w:val="none"/>
        </w:rPr>
        <w:t>第四章 报价附件</w:t>
      </w:r>
    </w:p>
    <w:p w14:paraId="4CF37510">
      <w:pPr>
        <w:jc w:val="center"/>
        <w:rPr>
          <w:rFonts w:ascii="宋体" w:hAnsi="宋体" w:cs="宋体"/>
          <w:szCs w:val="21"/>
          <w:highlight w:val="none"/>
        </w:rPr>
      </w:pPr>
      <w:r>
        <w:rPr>
          <w:rFonts w:hint="eastAsia" w:ascii="Cambria" w:hAnsi="Cambria" w:eastAsia="宋体" w:cs="宋体"/>
          <w:b/>
          <w:bCs/>
          <w:color w:val="auto"/>
          <w:kern w:val="2"/>
          <w:sz w:val="32"/>
          <w:szCs w:val="32"/>
          <w:highlight w:val="none"/>
          <w:lang w:val="en-US" w:eastAsia="zh-CN" w:bidi="ar-SA"/>
        </w:rPr>
        <w:t>报价</w:t>
      </w:r>
      <w:r>
        <w:rPr>
          <w:rFonts w:hint="eastAsia" w:ascii="Cambria" w:hAnsi="Cambria" w:eastAsia="宋体" w:cs="宋体"/>
          <w:b/>
          <w:bCs/>
          <w:color w:val="auto"/>
          <w:kern w:val="2"/>
          <w:sz w:val="32"/>
          <w:szCs w:val="32"/>
          <w:highlight w:val="none"/>
          <w:lang w:val="zh-CN" w:eastAsia="zh-CN" w:bidi="ar-SA"/>
        </w:rPr>
        <w:t>函</w:t>
      </w:r>
    </w:p>
    <w:p w14:paraId="2876522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ascii="宋体" w:hAnsi="宋体" w:cs="宋体"/>
          <w:szCs w:val="21"/>
          <w:highlight w:val="none"/>
        </w:rPr>
      </w:pPr>
      <w:r>
        <w:rPr>
          <w:rFonts w:ascii="宋体" w:hAnsi="宋体" w:cs="宋体"/>
          <w:szCs w:val="21"/>
          <w:highlight w:val="none"/>
        </w:rPr>
        <w:t>致</w:t>
      </w:r>
      <w:r>
        <w:rPr>
          <w:rFonts w:hint="eastAsia" w:ascii="宋体" w:hAnsi="宋体" w:cs="宋体"/>
          <w:szCs w:val="21"/>
          <w:highlight w:val="none"/>
          <w:u w:val="single"/>
          <w:lang w:val="en-US" w:eastAsia="zh-CN"/>
        </w:rPr>
        <w:t>广东省未成年犯管教所/广东省机电设备招标有限公司</w:t>
      </w:r>
      <w:r>
        <w:rPr>
          <w:rFonts w:ascii="宋体" w:hAnsi="宋体" w:cs="宋体"/>
          <w:szCs w:val="21"/>
          <w:highlight w:val="none"/>
        </w:rPr>
        <w:t>：</w:t>
      </w:r>
    </w:p>
    <w:p w14:paraId="0E895B3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在研究了</w:t>
      </w:r>
      <w:r>
        <w:rPr>
          <w:rFonts w:hint="eastAsia" w:ascii="宋体" w:hAnsi="宋体" w:cs="宋体"/>
          <w:szCs w:val="21"/>
          <w:highlight w:val="none"/>
          <w:lang w:val="en-US" w:eastAsia="zh-CN"/>
        </w:rPr>
        <w:t>广东省未成年犯管教所广东省未成年犯管教所南、北门防冲撞液压式自动升降柱采购项目</w:t>
      </w:r>
      <w:r>
        <w:rPr>
          <w:rFonts w:hint="eastAsia" w:ascii="宋体" w:hAnsi="宋体" w:cs="宋体"/>
          <w:szCs w:val="21"/>
          <w:highlight w:val="none"/>
        </w:rPr>
        <w:t>的询价函，并了解项目基本情况后，我方愿参考有关规定</w:t>
      </w:r>
      <w:r>
        <w:rPr>
          <w:rFonts w:hint="eastAsia" w:ascii="宋体" w:hAnsi="宋体" w:cs="宋体"/>
          <w:szCs w:val="21"/>
          <w:highlight w:val="none"/>
          <w:lang w:eastAsia="zh-CN"/>
        </w:rPr>
        <w:t>，</w:t>
      </w:r>
      <w:r>
        <w:rPr>
          <w:rFonts w:hint="eastAsia" w:ascii="宋体" w:hAnsi="宋体" w:cs="宋体"/>
          <w:szCs w:val="21"/>
          <w:highlight w:val="none"/>
        </w:rPr>
        <w:t>以</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元对</w:t>
      </w:r>
      <w:r>
        <w:rPr>
          <w:rFonts w:hint="eastAsia"/>
          <w:color w:val="auto"/>
          <w:highlight w:val="none"/>
          <w:lang w:eastAsia="zh-CN"/>
        </w:rPr>
        <w:t>广东省未成年犯管教所南、北门防冲撞液压式自动升降柱采购项目</w:t>
      </w:r>
      <w:r>
        <w:rPr>
          <w:rFonts w:hint="eastAsia" w:ascii="宋体" w:hAnsi="宋体" w:cs="宋体"/>
          <w:szCs w:val="21"/>
          <w:highlight w:val="none"/>
        </w:rPr>
        <w:t>进行投标报价（含增值税）。我单位承诺按上述询价函要求承担该项工作。</w:t>
      </w:r>
    </w:p>
    <w:p w14:paraId="72BB6B4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2.如果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lang w:eastAsia="zh-CN"/>
        </w:rPr>
        <w:t>贵司</w:t>
      </w:r>
      <w:r>
        <w:rPr>
          <w:rFonts w:ascii="宋体" w:hAnsi="宋体" w:cs="宋体"/>
          <w:szCs w:val="21"/>
          <w:highlight w:val="none"/>
        </w:rPr>
        <w:t>的要求</w:t>
      </w:r>
      <w:r>
        <w:rPr>
          <w:rFonts w:hint="eastAsia" w:ascii="宋体" w:hAnsi="宋体" w:cs="宋体"/>
          <w:szCs w:val="21"/>
          <w:highlight w:val="none"/>
        </w:rPr>
        <w:t>，保质保量地完成业主委托的事项</w:t>
      </w:r>
      <w:r>
        <w:rPr>
          <w:rFonts w:ascii="宋体" w:hAnsi="宋体" w:cs="宋体"/>
          <w:szCs w:val="21"/>
          <w:highlight w:val="none"/>
        </w:rPr>
        <w:t>。</w:t>
      </w:r>
    </w:p>
    <w:p w14:paraId="2EED24A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3.如果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将保证按</w:t>
      </w:r>
      <w:r>
        <w:rPr>
          <w:rFonts w:hint="eastAsia" w:ascii="宋体" w:hAnsi="宋体" w:cs="宋体"/>
          <w:szCs w:val="21"/>
          <w:highlight w:val="none"/>
        </w:rPr>
        <w:t>招投标相关</w:t>
      </w:r>
      <w:r>
        <w:rPr>
          <w:rFonts w:ascii="宋体" w:hAnsi="宋体" w:cs="宋体"/>
          <w:szCs w:val="21"/>
          <w:highlight w:val="none"/>
        </w:rPr>
        <w:t>文件承诺的人员及各项资源配置或</w:t>
      </w:r>
      <w:r>
        <w:rPr>
          <w:rFonts w:hint="eastAsia" w:ascii="宋体" w:hAnsi="宋体" w:cs="宋体"/>
          <w:szCs w:val="21"/>
          <w:highlight w:val="none"/>
          <w:lang w:eastAsia="zh-CN"/>
        </w:rPr>
        <w:t>贵司</w:t>
      </w:r>
      <w:r>
        <w:rPr>
          <w:rFonts w:ascii="宋体" w:hAnsi="宋体" w:cs="宋体"/>
          <w:szCs w:val="21"/>
          <w:highlight w:val="none"/>
        </w:rPr>
        <w:t>提出的要求投入</w:t>
      </w:r>
      <w:r>
        <w:rPr>
          <w:rFonts w:hint="eastAsia" w:ascii="宋体" w:hAnsi="宋体" w:cs="宋体"/>
          <w:szCs w:val="21"/>
          <w:highlight w:val="none"/>
        </w:rPr>
        <w:t>招标服务</w:t>
      </w:r>
      <w:r>
        <w:rPr>
          <w:rFonts w:ascii="宋体" w:hAnsi="宋体" w:cs="宋体"/>
          <w:szCs w:val="21"/>
          <w:highlight w:val="none"/>
        </w:rPr>
        <w:t>工作中。</w:t>
      </w:r>
    </w:p>
    <w:p w14:paraId="43F44FA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4.如果</w:t>
      </w:r>
      <w:r>
        <w:rPr>
          <w:rFonts w:hint="eastAsia" w:ascii="宋体" w:hAnsi="宋体" w:cs="宋体"/>
          <w:szCs w:val="21"/>
          <w:highlight w:val="none"/>
          <w:lang w:eastAsia="zh-CN"/>
        </w:rPr>
        <w:t>贵司</w:t>
      </w:r>
      <w:r>
        <w:rPr>
          <w:rFonts w:ascii="宋体" w:hAnsi="宋体" w:cs="宋体"/>
          <w:szCs w:val="21"/>
          <w:highlight w:val="none"/>
        </w:rPr>
        <w:t>接受</w:t>
      </w:r>
      <w:r>
        <w:rPr>
          <w:rFonts w:hint="eastAsia" w:ascii="宋体" w:hAnsi="宋体" w:cs="宋体"/>
          <w:szCs w:val="21"/>
          <w:highlight w:val="none"/>
          <w:lang w:eastAsia="zh-CN"/>
        </w:rPr>
        <w:t>我司</w:t>
      </w:r>
      <w:r>
        <w:rPr>
          <w:rFonts w:ascii="宋体" w:hAnsi="宋体" w:cs="宋体"/>
          <w:szCs w:val="21"/>
          <w:highlight w:val="none"/>
        </w:rPr>
        <w:t>的</w:t>
      </w:r>
      <w:r>
        <w:rPr>
          <w:rFonts w:hint="eastAsia" w:ascii="宋体" w:hAnsi="宋体" w:cs="宋体"/>
          <w:szCs w:val="21"/>
          <w:highlight w:val="none"/>
        </w:rPr>
        <w:t>投标</w:t>
      </w:r>
      <w:r>
        <w:rPr>
          <w:rFonts w:ascii="宋体" w:hAnsi="宋体" w:cs="宋体"/>
          <w:szCs w:val="21"/>
          <w:highlight w:val="none"/>
        </w:rPr>
        <w:t>，</w:t>
      </w:r>
      <w:r>
        <w:rPr>
          <w:rFonts w:hint="eastAsia" w:ascii="宋体" w:hAnsi="宋体" w:cs="宋体"/>
          <w:szCs w:val="21"/>
          <w:highlight w:val="none"/>
          <w:lang w:eastAsia="zh-CN"/>
        </w:rPr>
        <w:t>我司</w:t>
      </w:r>
      <w:r>
        <w:rPr>
          <w:rFonts w:ascii="宋体" w:hAnsi="宋体" w:cs="宋体"/>
          <w:szCs w:val="21"/>
          <w:highlight w:val="none"/>
        </w:rPr>
        <w:t>将保证接受</w:t>
      </w:r>
      <w:r>
        <w:rPr>
          <w:rFonts w:hint="eastAsia" w:ascii="宋体" w:hAnsi="宋体" w:cs="宋体"/>
          <w:szCs w:val="21"/>
          <w:highlight w:val="none"/>
          <w:lang w:eastAsia="zh-CN"/>
        </w:rPr>
        <w:t>贵司</w:t>
      </w:r>
      <w:r>
        <w:rPr>
          <w:rFonts w:ascii="宋体" w:hAnsi="宋体" w:cs="宋体"/>
          <w:szCs w:val="21"/>
          <w:highlight w:val="none"/>
        </w:rPr>
        <w:t>的监督和管理，</w:t>
      </w:r>
      <w:r>
        <w:rPr>
          <w:rFonts w:hint="eastAsia" w:ascii="宋体" w:hAnsi="宋体" w:cs="宋体"/>
          <w:szCs w:val="21"/>
          <w:highlight w:val="none"/>
        </w:rPr>
        <w:t>为业主提供优质的服务。</w:t>
      </w:r>
    </w:p>
    <w:p w14:paraId="1965CCB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lang w:eastAsia="zh-CN"/>
        </w:rPr>
        <w:t>我司</w:t>
      </w:r>
      <w:r>
        <w:rPr>
          <w:rFonts w:ascii="宋体" w:hAnsi="宋体" w:cs="宋体"/>
          <w:szCs w:val="21"/>
          <w:highlight w:val="none"/>
        </w:rPr>
        <w:t>同意严格遵守本</w:t>
      </w:r>
      <w:r>
        <w:rPr>
          <w:rFonts w:hint="eastAsia" w:ascii="宋体" w:hAnsi="宋体" w:cs="宋体"/>
          <w:szCs w:val="21"/>
          <w:highlight w:val="none"/>
          <w:lang w:val="en-US" w:eastAsia="zh-CN"/>
        </w:rPr>
        <w:t>报价</w:t>
      </w:r>
      <w:r>
        <w:rPr>
          <w:rFonts w:ascii="宋体" w:hAnsi="宋体" w:cs="宋体"/>
          <w:szCs w:val="21"/>
          <w:highlight w:val="none"/>
        </w:rPr>
        <w:t>函的各项承诺。</w:t>
      </w:r>
    </w:p>
    <w:p w14:paraId="5BA217A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6.在</w:t>
      </w:r>
      <w:r>
        <w:rPr>
          <w:rFonts w:hint="eastAsia" w:ascii="宋体" w:hAnsi="宋体" w:cs="宋体"/>
          <w:szCs w:val="21"/>
          <w:highlight w:val="none"/>
        </w:rPr>
        <w:t>招标</w:t>
      </w:r>
      <w:r>
        <w:rPr>
          <w:rFonts w:hint="eastAsia" w:ascii="宋体" w:hAnsi="宋体" w:cs="宋体"/>
          <w:szCs w:val="21"/>
          <w:highlight w:val="none"/>
          <w:lang w:val="en-US" w:eastAsia="zh-CN"/>
        </w:rPr>
        <w:t>代理</w:t>
      </w:r>
      <w:r>
        <w:rPr>
          <w:rFonts w:hint="eastAsia" w:ascii="宋体" w:hAnsi="宋体" w:cs="宋体"/>
          <w:szCs w:val="21"/>
          <w:highlight w:val="none"/>
        </w:rPr>
        <w:t>服务协议</w:t>
      </w:r>
      <w:r>
        <w:rPr>
          <w:rFonts w:ascii="宋体" w:hAnsi="宋体" w:cs="宋体"/>
          <w:szCs w:val="21"/>
          <w:highlight w:val="none"/>
        </w:rPr>
        <w:t>正式签署生效之前，本</w:t>
      </w:r>
      <w:r>
        <w:rPr>
          <w:rFonts w:hint="eastAsia" w:ascii="宋体" w:hAnsi="宋体" w:cs="宋体"/>
          <w:szCs w:val="21"/>
          <w:highlight w:val="none"/>
          <w:lang w:val="en-US" w:eastAsia="zh-CN"/>
        </w:rPr>
        <w:t>报价</w:t>
      </w:r>
      <w:r>
        <w:rPr>
          <w:rFonts w:ascii="宋体" w:hAnsi="宋体" w:cs="宋体"/>
          <w:szCs w:val="21"/>
          <w:highlight w:val="none"/>
        </w:rPr>
        <w:t>函连同</w:t>
      </w:r>
      <w:r>
        <w:rPr>
          <w:rFonts w:hint="eastAsia" w:ascii="宋体" w:hAnsi="宋体" w:cs="宋体"/>
          <w:szCs w:val="21"/>
          <w:highlight w:val="none"/>
          <w:lang w:eastAsia="zh-CN"/>
        </w:rPr>
        <w:t>贵司</w:t>
      </w:r>
      <w:r>
        <w:rPr>
          <w:rFonts w:ascii="宋体" w:hAnsi="宋体" w:cs="宋体"/>
          <w:szCs w:val="21"/>
          <w:highlight w:val="none"/>
        </w:rPr>
        <w:t xml:space="preserve">的中标通知书将构成双方共同遵守的文件，对双方具有约束力。 </w:t>
      </w:r>
    </w:p>
    <w:p w14:paraId="71AF45B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Times New Roman"/>
          <w:bCs/>
          <w:sz w:val="24"/>
          <w:highlight w:val="none"/>
          <w:lang w:val="en-US" w:eastAsia="zh-CN"/>
        </w:rPr>
      </w:pPr>
      <w:r>
        <w:rPr>
          <w:rFonts w:ascii="宋体" w:hAnsi="宋体" w:cs="宋体"/>
          <w:szCs w:val="21"/>
          <w:highlight w:val="none"/>
        </w:rPr>
        <w:t>7.</w:t>
      </w:r>
      <w:r>
        <w:rPr>
          <w:rFonts w:hint="eastAsia" w:ascii="宋体" w:hAnsi="宋体" w:eastAsia="宋体" w:cs="宋体"/>
          <w:szCs w:val="21"/>
          <w:highlight w:val="none"/>
          <w:lang w:val="en-US" w:eastAsia="zh-CN"/>
        </w:rPr>
        <w:t>我司同意所提交的报价在询价文件规定的报价有效期内有效，在此期间内如果中选，我司将受此约束。</w:t>
      </w:r>
    </w:p>
    <w:p w14:paraId="2642B88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14:paraId="60365BD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p>
    <w:p w14:paraId="79F867A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w:t>
      </w:r>
      <w:r>
        <w:rPr>
          <w:rFonts w:ascii="宋体" w:hAnsi="宋体" w:cs="宋体"/>
          <w:szCs w:val="21"/>
          <w:highlight w:val="none"/>
          <w:u w:val="single"/>
        </w:rPr>
        <w:t xml:space="preserve">  （全称）        （盖章）   </w:t>
      </w:r>
    </w:p>
    <w:p w14:paraId="4661B96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法定代表人或授权</w:t>
      </w:r>
      <w:r>
        <w:rPr>
          <w:rFonts w:hint="eastAsia" w:ascii="宋体" w:hAnsi="宋体" w:cs="宋体"/>
          <w:szCs w:val="21"/>
          <w:highlight w:val="none"/>
        </w:rPr>
        <w:t>服务</w:t>
      </w:r>
      <w:r>
        <w:rPr>
          <w:rFonts w:ascii="宋体" w:hAnsi="宋体" w:cs="宋体"/>
          <w:szCs w:val="21"/>
          <w:highlight w:val="none"/>
        </w:rPr>
        <w:t>人</w:t>
      </w:r>
      <w:r>
        <w:rPr>
          <w:rFonts w:ascii="宋体" w:hAnsi="宋体" w:cs="宋体"/>
          <w:szCs w:val="21"/>
          <w:highlight w:val="none"/>
          <w:u w:val="single"/>
        </w:rPr>
        <w:t>（职务）   （姓名）   （签字</w:t>
      </w:r>
      <w:r>
        <w:rPr>
          <w:rFonts w:hint="eastAsia" w:ascii="宋体" w:hAnsi="宋体" w:cs="宋体"/>
          <w:szCs w:val="21"/>
          <w:highlight w:val="none"/>
          <w:u w:val="single"/>
          <w:lang w:val="en-US" w:eastAsia="zh-CN"/>
        </w:rPr>
        <w:t>/签字章</w:t>
      </w:r>
      <w:r>
        <w:rPr>
          <w:rFonts w:ascii="宋体" w:hAnsi="宋体" w:cs="宋体"/>
          <w:szCs w:val="21"/>
          <w:highlight w:val="none"/>
          <w:u w:val="single"/>
        </w:rPr>
        <w:t>）</w:t>
      </w:r>
    </w:p>
    <w:p w14:paraId="0E05B86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hint="eastAsia" w:ascii="宋体" w:hAnsi="宋体" w:cs="宋体"/>
          <w:szCs w:val="21"/>
          <w:highlight w:val="none"/>
        </w:rPr>
        <w:t>投标</w:t>
      </w:r>
      <w:r>
        <w:rPr>
          <w:rFonts w:ascii="宋体" w:hAnsi="宋体" w:cs="宋体"/>
          <w:szCs w:val="21"/>
          <w:highlight w:val="none"/>
        </w:rPr>
        <w:t>人地址：</w:t>
      </w:r>
      <w:r>
        <w:rPr>
          <w:rFonts w:ascii="宋体" w:hAnsi="宋体" w:cs="宋体"/>
          <w:szCs w:val="21"/>
          <w:highlight w:val="none"/>
          <w:u w:val="single"/>
        </w:rPr>
        <w:t xml:space="preserve">       　                         </w:t>
      </w:r>
      <w:r>
        <w:rPr>
          <w:rFonts w:ascii="宋体" w:hAnsi="宋体" w:cs="宋体"/>
          <w:szCs w:val="21"/>
          <w:highlight w:val="none"/>
        </w:rPr>
        <w:t xml:space="preserve"> 　　　 </w:t>
      </w:r>
    </w:p>
    <w:p w14:paraId="6B150B0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邮政编码：</w:t>
      </w:r>
      <w:r>
        <w:rPr>
          <w:rFonts w:ascii="宋体" w:hAnsi="宋体" w:cs="宋体"/>
          <w:szCs w:val="21"/>
          <w:highlight w:val="none"/>
          <w:u w:val="single"/>
        </w:rPr>
        <w:t xml:space="preserve">       　       　 </w:t>
      </w:r>
      <w:r>
        <w:rPr>
          <w:rFonts w:ascii="宋体" w:hAnsi="宋体" w:cs="宋体"/>
          <w:szCs w:val="21"/>
          <w:highlight w:val="none"/>
        </w:rPr>
        <w:t xml:space="preserve">  　　　 </w:t>
      </w:r>
    </w:p>
    <w:p w14:paraId="7F312A5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szCs w:val="21"/>
          <w:highlight w:val="none"/>
        </w:rPr>
      </w:pPr>
      <w:r>
        <w:rPr>
          <w:rFonts w:ascii="宋体" w:hAnsi="宋体" w:cs="宋体"/>
          <w:szCs w:val="21"/>
          <w:highlight w:val="none"/>
        </w:rPr>
        <w:t>电   话：</w:t>
      </w:r>
      <w:r>
        <w:rPr>
          <w:rFonts w:ascii="宋体" w:hAnsi="宋体" w:cs="宋体"/>
          <w:szCs w:val="21"/>
          <w:highlight w:val="none"/>
          <w:u w:val="single"/>
        </w:rPr>
        <w:t xml:space="preserve">     　   </w:t>
      </w:r>
      <w:r>
        <w:rPr>
          <w:rFonts w:ascii="宋体" w:hAnsi="宋体" w:cs="宋体"/>
          <w:szCs w:val="21"/>
          <w:highlight w:val="none"/>
        </w:rPr>
        <w:t xml:space="preserve">　　  　 </w:t>
      </w:r>
    </w:p>
    <w:p w14:paraId="1CF30D5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color w:val="auto"/>
          <w:highlight w:val="none"/>
        </w:rPr>
      </w:pPr>
      <w:r>
        <w:rPr>
          <w:rFonts w:ascii="宋体" w:hAnsi="宋体" w:cs="宋体"/>
          <w:szCs w:val="21"/>
          <w:highlight w:val="none"/>
        </w:rPr>
        <w:t>日期：</w:t>
      </w:r>
      <w:r>
        <w:rPr>
          <w:rFonts w:hint="eastAsia" w:ascii="宋体" w:hAnsi="宋体" w:cs="宋体"/>
          <w:szCs w:val="21"/>
          <w:highlight w:val="none"/>
          <w:lang w:val="en-US" w:eastAsia="zh-CN"/>
        </w:rPr>
        <w:t xml:space="preserve">  </w:t>
      </w:r>
      <w:r>
        <w:rPr>
          <w:rFonts w:ascii="宋体" w:hAnsi="宋体" w:cs="宋体"/>
          <w:szCs w:val="21"/>
          <w:highlight w:val="none"/>
        </w:rPr>
        <w:t>年</w:t>
      </w:r>
      <w:r>
        <w:rPr>
          <w:rFonts w:hint="eastAsia" w:ascii="宋体" w:hAnsi="宋体" w:cs="宋体"/>
          <w:szCs w:val="21"/>
          <w:highlight w:val="none"/>
          <w:lang w:val="en-US" w:eastAsia="zh-CN"/>
        </w:rPr>
        <w:t xml:space="preserve">   </w:t>
      </w:r>
      <w:r>
        <w:rPr>
          <w:rFonts w:ascii="宋体" w:hAnsi="宋体" w:cs="宋体"/>
          <w:szCs w:val="21"/>
          <w:highlight w:val="none"/>
        </w:rPr>
        <w:t>月</w:t>
      </w:r>
      <w:r>
        <w:rPr>
          <w:rFonts w:hint="eastAsia" w:ascii="宋体" w:hAnsi="宋体" w:cs="宋体"/>
          <w:szCs w:val="21"/>
          <w:highlight w:val="none"/>
          <w:lang w:val="en-US" w:eastAsia="zh-CN"/>
        </w:rPr>
        <w:t xml:space="preserve">   </w:t>
      </w:r>
      <w:r>
        <w:rPr>
          <w:rFonts w:ascii="宋体" w:hAnsi="宋体" w:cs="宋体"/>
          <w:szCs w:val="21"/>
          <w:highlight w:val="none"/>
        </w:rPr>
        <w:t>日</w:t>
      </w:r>
      <w:r>
        <w:rPr>
          <w:rFonts w:hint="eastAsia"/>
          <w:color w:val="auto"/>
          <w:highlight w:val="none"/>
        </w:rPr>
        <w:br w:type="page"/>
      </w:r>
    </w:p>
    <w:p w14:paraId="6A4A9A3E">
      <w:pPr>
        <w:rPr>
          <w:highlight w:val="none"/>
        </w:rPr>
      </w:pPr>
    </w:p>
    <w:p w14:paraId="05BCD3AF">
      <w:pPr>
        <w:pStyle w:val="4"/>
        <w:spacing w:before="0" w:after="0"/>
        <w:jc w:val="center"/>
        <w:rPr>
          <w:color w:val="auto"/>
          <w:sz w:val="36"/>
          <w:szCs w:val="36"/>
          <w:highlight w:val="none"/>
          <w:lang w:val="zh-CN"/>
        </w:rPr>
      </w:pPr>
      <w:r>
        <w:rPr>
          <w:rFonts w:hint="eastAsia"/>
          <w:color w:val="auto"/>
          <w:highlight w:val="none"/>
          <w:lang w:val="zh-CN"/>
        </w:rPr>
        <w:t>报 价 表</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3"/>
        <w:gridCol w:w="2084"/>
        <w:gridCol w:w="2277"/>
      </w:tblGrid>
      <w:tr w14:paraId="1854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14:paraId="3101176E">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采购内容</w:t>
            </w:r>
          </w:p>
        </w:tc>
        <w:tc>
          <w:tcPr>
            <w:tcW w:w="1058" w:type="pct"/>
            <w:vAlign w:val="center"/>
          </w:tcPr>
          <w:p w14:paraId="6F8EB654">
            <w:pPr>
              <w:spacing w:line="360" w:lineRule="exact"/>
              <w:ind w:left="0" w:leftChars="0" w:firstLine="0" w:firstLineChars="0"/>
              <w:jc w:val="center"/>
              <w:rPr>
                <w:rFonts w:hint="eastAsia" w:eastAsia="宋体" w:asciiTheme="minorEastAsia" w:hAnsiTheme="minorEastAsia"/>
                <w:b/>
                <w:color w:val="auto"/>
                <w:spacing w:val="4"/>
                <w:szCs w:val="21"/>
                <w:highlight w:val="none"/>
                <w:lang w:val="en-US" w:eastAsia="zh-CN"/>
              </w:rPr>
            </w:pPr>
            <w:r>
              <w:rPr>
                <w:rFonts w:hint="eastAsia" w:asciiTheme="minorEastAsia" w:hAnsiTheme="minorEastAsia"/>
                <w:b/>
                <w:color w:val="auto"/>
                <w:spacing w:val="4"/>
                <w:szCs w:val="21"/>
                <w:highlight w:val="none"/>
                <w:lang w:val="en-US" w:eastAsia="zh-CN"/>
              </w:rPr>
              <w:t>响应报价（元）</w:t>
            </w:r>
          </w:p>
        </w:tc>
        <w:tc>
          <w:tcPr>
            <w:tcW w:w="1156" w:type="pct"/>
            <w:vAlign w:val="center"/>
          </w:tcPr>
          <w:p w14:paraId="29279A1A">
            <w:pPr>
              <w:spacing w:line="360" w:lineRule="exact"/>
              <w:ind w:left="0" w:leftChars="0" w:firstLine="0" w:firstLineChars="0"/>
              <w:jc w:val="center"/>
              <w:rPr>
                <w:rFonts w:hint="eastAsia" w:eastAsia="宋体" w:asciiTheme="minorEastAsia" w:hAnsiTheme="minorEastAsia"/>
                <w:b/>
                <w:color w:val="auto"/>
                <w:spacing w:val="4"/>
                <w:szCs w:val="21"/>
                <w:highlight w:val="none"/>
                <w:lang w:eastAsia="zh-CN"/>
              </w:rPr>
            </w:pPr>
            <w:r>
              <w:rPr>
                <w:rFonts w:hint="eastAsia" w:asciiTheme="minorEastAsia" w:hAnsiTheme="minorEastAsia"/>
                <w:b/>
                <w:color w:val="auto"/>
                <w:spacing w:val="4"/>
                <w:szCs w:val="21"/>
                <w:highlight w:val="none"/>
                <w:lang w:val="en-US" w:eastAsia="zh-CN"/>
              </w:rPr>
              <w:t>备注</w:t>
            </w:r>
          </w:p>
        </w:tc>
      </w:tr>
      <w:tr w14:paraId="3EE2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84" w:type="pct"/>
            <w:vAlign w:val="center"/>
          </w:tcPr>
          <w:p w14:paraId="75393F6B">
            <w:pPr>
              <w:spacing w:line="360" w:lineRule="exact"/>
              <w:ind w:left="0" w:leftChars="0" w:firstLine="0" w:firstLineChars="0"/>
              <w:jc w:val="center"/>
              <w:rPr>
                <w:rFonts w:asciiTheme="minorEastAsia" w:hAnsiTheme="minorEastAsia"/>
                <w:b/>
                <w:color w:val="auto"/>
                <w:spacing w:val="4"/>
                <w:szCs w:val="21"/>
                <w:highlight w:val="none"/>
              </w:rPr>
            </w:pPr>
            <w:r>
              <w:rPr>
                <w:rFonts w:hint="eastAsia" w:ascii="宋体" w:hAnsi="宋体" w:cs="宋体"/>
                <w:color w:val="auto"/>
                <w:kern w:val="1"/>
                <w:szCs w:val="21"/>
                <w:highlight w:val="none"/>
                <w:lang w:val="zh-CN"/>
              </w:rPr>
              <w:t>广东省未成年犯管教所南、北门防冲撞液压式自动升降柱采购项目</w:t>
            </w:r>
          </w:p>
        </w:tc>
        <w:tc>
          <w:tcPr>
            <w:tcW w:w="1058" w:type="pct"/>
            <w:vAlign w:val="center"/>
          </w:tcPr>
          <w:p w14:paraId="23E9A091">
            <w:pPr>
              <w:spacing w:line="360" w:lineRule="exact"/>
              <w:ind w:left="0" w:leftChars="0" w:firstLine="0" w:firstLineChars="0"/>
              <w:jc w:val="center"/>
              <w:rPr>
                <w:rFonts w:asciiTheme="minorEastAsia" w:hAnsiTheme="minorEastAsia"/>
                <w:b/>
                <w:color w:val="auto"/>
                <w:spacing w:val="4"/>
                <w:szCs w:val="21"/>
                <w:highlight w:val="none"/>
              </w:rPr>
            </w:pPr>
          </w:p>
        </w:tc>
        <w:tc>
          <w:tcPr>
            <w:tcW w:w="1156" w:type="pct"/>
            <w:vAlign w:val="center"/>
          </w:tcPr>
          <w:p w14:paraId="11F4A69F">
            <w:pPr>
              <w:spacing w:line="360" w:lineRule="exact"/>
              <w:ind w:left="0" w:leftChars="0" w:firstLine="0" w:firstLineChars="0"/>
              <w:jc w:val="center"/>
              <w:rPr>
                <w:rFonts w:asciiTheme="minorEastAsia" w:hAnsiTheme="minorEastAsia"/>
                <w:b/>
                <w:color w:val="auto"/>
                <w:spacing w:val="4"/>
                <w:szCs w:val="21"/>
                <w:highlight w:val="none"/>
              </w:rPr>
            </w:pPr>
          </w:p>
        </w:tc>
      </w:tr>
    </w:tbl>
    <w:p w14:paraId="4C4B3CBD">
      <w:pPr>
        <w:spacing w:line="500" w:lineRule="exact"/>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注：</w:t>
      </w:r>
    </w:p>
    <w:p w14:paraId="78F8FDD4">
      <w:pPr>
        <w:pStyle w:val="19"/>
        <w:numPr>
          <w:ilvl w:val="0"/>
          <w:numId w:val="15"/>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供应商必须按报价表的格式填写，不得增加或删除表格内容。除单价、金额或项目要求填写的内容外，不得擅自改动报价表内容，否则将有可能影响成交结果，不推荐为成交候选人；</w:t>
      </w:r>
    </w:p>
    <w:p w14:paraId="48D8DC9E">
      <w:pPr>
        <w:pStyle w:val="19"/>
        <w:numPr>
          <w:ilvl w:val="0"/>
          <w:numId w:val="15"/>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所有价格均系用人民币表示，单位为</w:t>
      </w:r>
      <w:r>
        <w:rPr>
          <w:rFonts w:hint="eastAsia" w:cs="Times New Roman"/>
          <w:b/>
          <w:color w:val="auto"/>
          <w:spacing w:val="4"/>
          <w:kern w:val="2"/>
          <w:sz w:val="21"/>
          <w:szCs w:val="21"/>
          <w:highlight w:val="none"/>
          <w:lang w:val="en-US" w:eastAsia="zh-CN"/>
        </w:rPr>
        <w:t>元</w:t>
      </w:r>
      <w:r>
        <w:rPr>
          <w:rFonts w:hint="eastAsia" w:cs="Times New Roman"/>
          <w:b/>
          <w:color w:val="auto"/>
          <w:spacing w:val="4"/>
          <w:kern w:val="2"/>
          <w:sz w:val="21"/>
          <w:szCs w:val="21"/>
          <w:highlight w:val="none"/>
        </w:rPr>
        <w:t>；</w:t>
      </w:r>
    </w:p>
    <w:p w14:paraId="3578E69B">
      <w:pPr>
        <w:pStyle w:val="19"/>
        <w:numPr>
          <w:ilvl w:val="0"/>
          <w:numId w:val="15"/>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供应商对</w:t>
      </w:r>
      <w:r>
        <w:rPr>
          <w:rFonts w:hint="eastAsia" w:cs="Times New Roman"/>
          <w:b/>
          <w:color w:val="auto"/>
          <w:spacing w:val="4"/>
          <w:kern w:val="2"/>
          <w:sz w:val="21"/>
          <w:szCs w:val="21"/>
          <w:highlight w:val="none"/>
          <w:lang w:eastAsia="zh-CN"/>
        </w:rPr>
        <w:t>广东省未成年犯管教所南、北门防冲撞液压式自动升降柱采购项目</w:t>
      </w:r>
      <w:r>
        <w:rPr>
          <w:rFonts w:hint="eastAsia" w:cs="Times New Roman"/>
          <w:b/>
          <w:color w:val="auto"/>
          <w:spacing w:val="4"/>
          <w:kern w:val="2"/>
          <w:sz w:val="21"/>
          <w:szCs w:val="21"/>
          <w:highlight w:val="none"/>
        </w:rPr>
        <w:t>进行报价，且不得</w:t>
      </w:r>
      <w:r>
        <w:rPr>
          <w:rFonts w:hint="eastAsia" w:cs="Times New Roman"/>
          <w:b/>
          <w:color w:val="auto"/>
          <w:spacing w:val="4"/>
          <w:kern w:val="2"/>
          <w:sz w:val="21"/>
          <w:szCs w:val="21"/>
          <w:highlight w:val="none"/>
          <w:lang w:val="en-US" w:eastAsia="zh-CN"/>
        </w:rPr>
        <w:t>高于</w:t>
      </w:r>
      <w:r>
        <w:rPr>
          <w:rFonts w:hint="eastAsia" w:cs="Times New Roman"/>
          <w:b/>
          <w:color w:val="auto"/>
          <w:spacing w:val="4"/>
          <w:kern w:val="2"/>
          <w:sz w:val="21"/>
          <w:szCs w:val="21"/>
          <w:highlight w:val="none"/>
        </w:rPr>
        <w:t>最</w:t>
      </w:r>
      <w:r>
        <w:rPr>
          <w:rFonts w:hint="eastAsia" w:cs="Times New Roman"/>
          <w:b/>
          <w:color w:val="auto"/>
          <w:spacing w:val="4"/>
          <w:kern w:val="2"/>
          <w:sz w:val="21"/>
          <w:szCs w:val="21"/>
          <w:highlight w:val="none"/>
          <w:lang w:val="en-US" w:eastAsia="zh-CN"/>
        </w:rPr>
        <w:t>高</w:t>
      </w:r>
      <w:r>
        <w:rPr>
          <w:rFonts w:hint="eastAsia" w:cs="Times New Roman"/>
          <w:b/>
          <w:color w:val="auto"/>
          <w:spacing w:val="4"/>
          <w:kern w:val="2"/>
          <w:sz w:val="21"/>
          <w:szCs w:val="21"/>
          <w:highlight w:val="none"/>
        </w:rPr>
        <w:t>限价。该报价应包</w:t>
      </w:r>
      <w:r>
        <w:rPr>
          <w:rFonts w:hint="eastAsia" w:cs="Times New Roman"/>
          <w:b/>
          <w:color w:val="auto"/>
          <w:spacing w:val="4"/>
          <w:kern w:val="2"/>
          <w:sz w:val="21"/>
          <w:szCs w:val="21"/>
          <w:highlight w:val="none"/>
          <w:lang w:val="en-US" w:eastAsia="zh-CN"/>
        </w:rPr>
        <w:t>项目实施过程中</w:t>
      </w:r>
      <w:r>
        <w:rPr>
          <w:rFonts w:hint="eastAsia" w:cs="Times New Roman"/>
          <w:b/>
          <w:color w:val="auto"/>
          <w:spacing w:val="4"/>
          <w:kern w:val="2"/>
          <w:sz w:val="21"/>
          <w:szCs w:val="21"/>
          <w:highlight w:val="none"/>
        </w:rPr>
        <w:t>的全部费用</w:t>
      </w:r>
      <w:r>
        <w:rPr>
          <w:rFonts w:hint="eastAsia" w:cs="Times New Roman"/>
          <w:b/>
          <w:color w:val="auto"/>
          <w:spacing w:val="4"/>
          <w:kern w:val="2"/>
          <w:sz w:val="21"/>
          <w:szCs w:val="21"/>
          <w:highlight w:val="none"/>
          <w:lang w:eastAsia="zh-CN"/>
        </w:rPr>
        <w:t>，采购人不再支付任何费用</w:t>
      </w:r>
      <w:r>
        <w:rPr>
          <w:rFonts w:hint="eastAsia" w:cs="Times New Roman"/>
          <w:b/>
          <w:color w:val="auto"/>
          <w:spacing w:val="4"/>
          <w:kern w:val="2"/>
          <w:sz w:val="21"/>
          <w:szCs w:val="21"/>
          <w:highlight w:val="none"/>
        </w:rPr>
        <w:t>。</w:t>
      </w:r>
    </w:p>
    <w:p w14:paraId="261FF5B0">
      <w:pPr>
        <w:pStyle w:val="19"/>
        <w:numPr>
          <w:ilvl w:val="0"/>
          <w:numId w:val="15"/>
        </w:numPr>
        <w:shd w:val="clear" w:color="auto" w:fill="FFFFFF"/>
        <w:spacing w:before="0" w:beforeAutospacing="0" w:after="0" w:afterAutospacing="0" w:line="360" w:lineRule="auto"/>
        <w:ind w:left="0" w:firstLine="438" w:firstLineChars="200"/>
        <w:rPr>
          <w:rFonts w:cs="Times New Roman"/>
          <w:b/>
          <w:color w:val="auto"/>
          <w:spacing w:val="4"/>
          <w:kern w:val="2"/>
          <w:sz w:val="21"/>
          <w:szCs w:val="21"/>
          <w:highlight w:val="none"/>
        </w:rPr>
      </w:pPr>
      <w:r>
        <w:rPr>
          <w:rFonts w:hint="eastAsia" w:cs="Times New Roman"/>
          <w:b/>
          <w:color w:val="auto"/>
          <w:spacing w:val="4"/>
          <w:kern w:val="2"/>
          <w:sz w:val="21"/>
          <w:szCs w:val="21"/>
          <w:highlight w:val="none"/>
        </w:rPr>
        <w:t>通过报名的供应商应根据竞价文件要求，在规定的竞价时间内对采购项目进行报价，</w:t>
      </w:r>
      <w:r>
        <w:rPr>
          <w:rFonts w:hint="eastAsia" w:cs="Times New Roman"/>
          <w:b/>
          <w:color w:val="auto"/>
          <w:spacing w:val="4"/>
          <w:kern w:val="2"/>
          <w:sz w:val="21"/>
          <w:szCs w:val="21"/>
          <w:highlight w:val="none"/>
          <w:lang w:val="en-US" w:eastAsia="zh-CN"/>
        </w:rPr>
        <w:t>每次</w:t>
      </w:r>
      <w:r>
        <w:rPr>
          <w:rFonts w:hint="eastAsia" w:cs="Times New Roman"/>
          <w:b/>
          <w:color w:val="auto"/>
          <w:spacing w:val="4"/>
          <w:kern w:val="2"/>
          <w:sz w:val="21"/>
          <w:szCs w:val="21"/>
          <w:highlight w:val="none"/>
        </w:rPr>
        <w:t>报价时</w:t>
      </w:r>
      <w:r>
        <w:rPr>
          <w:rFonts w:hint="eastAsia" w:cs="Times New Roman"/>
          <w:b/>
          <w:color w:val="auto"/>
          <w:spacing w:val="4"/>
          <w:kern w:val="2"/>
          <w:sz w:val="21"/>
          <w:szCs w:val="21"/>
          <w:highlight w:val="none"/>
          <w:lang w:val="en-US" w:eastAsia="zh-CN"/>
        </w:rPr>
        <w:t>必须</w:t>
      </w:r>
      <w:r>
        <w:rPr>
          <w:rFonts w:hint="eastAsia" w:cs="Times New Roman"/>
          <w:b/>
          <w:color w:val="auto"/>
          <w:spacing w:val="4"/>
          <w:kern w:val="2"/>
          <w:sz w:val="21"/>
          <w:szCs w:val="21"/>
          <w:highlight w:val="none"/>
        </w:rPr>
        <w:t>提供印盖供应商公章的《报价表》，并对上传的响应文件资料承担责任</w:t>
      </w:r>
      <w:r>
        <w:rPr>
          <w:rFonts w:hint="eastAsia" w:cs="Times New Roman"/>
          <w:b/>
          <w:color w:val="auto"/>
          <w:spacing w:val="4"/>
          <w:kern w:val="2"/>
          <w:sz w:val="21"/>
          <w:szCs w:val="21"/>
          <w:highlight w:val="none"/>
          <w:lang w:eastAsia="zh-CN"/>
        </w:rPr>
        <w:t>，</w:t>
      </w:r>
      <w:r>
        <w:rPr>
          <w:rFonts w:hint="eastAsia" w:cs="Times New Roman"/>
          <w:b/>
          <w:color w:val="auto"/>
          <w:spacing w:val="4"/>
          <w:kern w:val="2"/>
          <w:sz w:val="21"/>
          <w:szCs w:val="21"/>
          <w:highlight w:val="none"/>
          <w:lang w:val="en-US" w:eastAsia="zh-CN"/>
        </w:rPr>
        <w:t>如未提供报价表或</w:t>
      </w:r>
      <w:r>
        <w:rPr>
          <w:rFonts w:hint="eastAsia" w:cs="Times New Roman"/>
          <w:b/>
          <w:color w:val="auto"/>
          <w:spacing w:val="4"/>
          <w:kern w:val="2"/>
          <w:sz w:val="21"/>
          <w:szCs w:val="21"/>
          <w:highlight w:val="none"/>
        </w:rPr>
        <w:t>报价表</w:t>
      </w:r>
      <w:r>
        <w:rPr>
          <w:rFonts w:hint="eastAsia" w:cs="Times New Roman"/>
          <w:b/>
          <w:color w:val="auto"/>
          <w:spacing w:val="4"/>
          <w:kern w:val="2"/>
          <w:sz w:val="21"/>
          <w:szCs w:val="21"/>
          <w:highlight w:val="none"/>
          <w:lang w:val="en-US" w:eastAsia="zh-CN"/>
        </w:rPr>
        <w:t>未</w:t>
      </w:r>
      <w:r>
        <w:rPr>
          <w:rFonts w:hint="eastAsia" w:cs="Times New Roman"/>
          <w:b/>
          <w:color w:val="auto"/>
          <w:spacing w:val="4"/>
          <w:kern w:val="2"/>
          <w:sz w:val="21"/>
          <w:szCs w:val="21"/>
          <w:highlight w:val="none"/>
        </w:rPr>
        <w:t>加盖单位公章，视为</w:t>
      </w:r>
      <w:r>
        <w:rPr>
          <w:rFonts w:hint="eastAsia" w:cs="Times New Roman"/>
          <w:b/>
          <w:color w:val="auto"/>
          <w:spacing w:val="4"/>
          <w:kern w:val="2"/>
          <w:sz w:val="21"/>
          <w:szCs w:val="21"/>
          <w:highlight w:val="none"/>
          <w:lang w:val="en-US" w:eastAsia="zh-CN"/>
        </w:rPr>
        <w:t>此次</w:t>
      </w:r>
      <w:r>
        <w:rPr>
          <w:rFonts w:hint="eastAsia" w:cs="Times New Roman"/>
          <w:b/>
          <w:color w:val="auto"/>
          <w:spacing w:val="4"/>
          <w:kern w:val="2"/>
          <w:sz w:val="21"/>
          <w:szCs w:val="21"/>
          <w:highlight w:val="none"/>
        </w:rPr>
        <w:t>报价无效。</w:t>
      </w:r>
    </w:p>
    <w:p w14:paraId="65CE829D">
      <w:pPr>
        <w:spacing w:line="500" w:lineRule="exact"/>
        <w:ind w:firstLine="0"/>
        <w:rPr>
          <w:rFonts w:hint="default" w:eastAsia="宋体" w:asciiTheme="minorEastAsia" w:hAnsiTheme="minorEastAsia"/>
          <w:color w:val="auto"/>
          <w:spacing w:val="4"/>
          <w:szCs w:val="21"/>
          <w:highlight w:val="none"/>
          <w:lang w:val="en-US" w:eastAsia="zh-CN"/>
        </w:rPr>
      </w:pPr>
    </w:p>
    <w:p w14:paraId="0FFA6C4E">
      <w:pPr>
        <w:spacing w:line="360" w:lineRule="auto"/>
        <w:rPr>
          <w:rFonts w:asciiTheme="minorEastAsia" w:hAnsiTheme="minorEastAsia"/>
          <w:color w:val="auto"/>
          <w:szCs w:val="21"/>
          <w:highlight w:val="none"/>
          <w:u w:val="single"/>
        </w:rPr>
      </w:pPr>
      <w:r>
        <w:rPr>
          <w:rFonts w:hint="eastAsia" w:asciiTheme="minorEastAsia" w:hAnsiTheme="minorEastAsia"/>
          <w:color w:val="auto"/>
          <w:spacing w:val="4"/>
          <w:szCs w:val="21"/>
          <w:highlight w:val="none"/>
        </w:rPr>
        <w:t>供应商名称（加</w:t>
      </w:r>
      <w:r>
        <w:rPr>
          <w:rFonts w:hint="eastAsia" w:asciiTheme="minorEastAsia" w:hAnsiTheme="minorEastAsia"/>
          <w:color w:val="auto"/>
          <w:szCs w:val="21"/>
          <w:highlight w:val="none"/>
        </w:rPr>
        <w:t>盖单位</w:t>
      </w:r>
      <w:r>
        <w:rPr>
          <w:rFonts w:hint="eastAsia" w:asciiTheme="minorEastAsia" w:hAnsiTheme="minorEastAsia"/>
          <w:color w:val="auto"/>
          <w:spacing w:val="4"/>
          <w:szCs w:val="21"/>
          <w:highlight w:val="none"/>
        </w:rPr>
        <w:t>公章）：</w:t>
      </w:r>
    </w:p>
    <w:p w14:paraId="7DBC4153">
      <w:pPr>
        <w:widowControl/>
        <w:spacing w:line="360" w:lineRule="auto"/>
        <w:jc w:val="left"/>
        <w:rPr>
          <w:rFonts w:ascii="宋体" w:hAnsi="宋体" w:eastAsia="宋体" w:cs="Times New Roman"/>
          <w:b/>
          <w:bCs/>
          <w:color w:val="auto"/>
          <w:sz w:val="32"/>
          <w:szCs w:val="32"/>
          <w:highlight w:val="none"/>
        </w:rPr>
      </w:pPr>
      <w:r>
        <w:rPr>
          <w:rFonts w:hint="eastAsia" w:asciiTheme="minorEastAsia" w:hAnsiTheme="minorEastAsia"/>
          <w:color w:val="auto"/>
          <w:spacing w:val="4"/>
          <w:szCs w:val="21"/>
          <w:highlight w:val="none"/>
        </w:rPr>
        <w:t>日期：</w:t>
      </w:r>
    </w:p>
    <w:p w14:paraId="0D9CBFD5">
      <w:pPr>
        <w:rPr>
          <w:rFonts w:hint="eastAsia" w:ascii="宋体" w:hAnsi="宋体" w:eastAsia="宋体"/>
          <w:color w:val="auto"/>
          <w:highlight w:val="none"/>
        </w:rPr>
      </w:pPr>
      <w:r>
        <w:rPr>
          <w:rFonts w:hint="eastAsia" w:ascii="宋体" w:hAnsi="宋体" w:eastAsia="宋体"/>
          <w:color w:val="auto"/>
          <w:highlight w:val="none"/>
        </w:rPr>
        <w:br w:type="page"/>
      </w:r>
    </w:p>
    <w:p w14:paraId="281D04C4">
      <w:pPr>
        <w:pStyle w:val="4"/>
        <w:keepLines w:val="0"/>
        <w:spacing w:before="156" w:beforeLines="5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供应商资格、用户需求书及合同条款响应声明函</w:t>
      </w:r>
    </w:p>
    <w:p w14:paraId="511DA9E6">
      <w:pPr>
        <w:spacing w:before="156" w:beforeLines="50" w:line="360" w:lineRule="auto"/>
        <w:rPr>
          <w:rFonts w:ascii="宋体" w:hAnsi="宋体"/>
          <w:b/>
          <w:color w:val="auto"/>
          <w:szCs w:val="21"/>
          <w:highlight w:val="none"/>
        </w:rPr>
      </w:pPr>
      <w:r>
        <w:rPr>
          <w:rFonts w:hint="eastAsia" w:ascii="宋体" w:hAnsi="宋体"/>
          <w:b/>
          <w:color w:val="auto"/>
          <w:szCs w:val="21"/>
          <w:highlight w:val="none"/>
        </w:rPr>
        <w:t>致：</w:t>
      </w:r>
      <w:r>
        <w:rPr>
          <w:rFonts w:hint="eastAsia" w:ascii="宋体" w:hAnsi="宋体"/>
          <w:b/>
          <w:color w:val="auto"/>
          <w:szCs w:val="21"/>
          <w:highlight w:val="none"/>
          <w:lang w:val="en-US" w:eastAsia="zh-CN"/>
        </w:rPr>
        <w:t>广东省未成年犯管教所</w:t>
      </w:r>
      <w:r>
        <w:rPr>
          <w:rFonts w:hint="eastAsia" w:ascii="宋体" w:hAnsi="宋体"/>
          <w:b/>
          <w:color w:val="auto"/>
          <w:szCs w:val="21"/>
          <w:highlight w:val="none"/>
        </w:rPr>
        <w:t>、</w:t>
      </w:r>
      <w:r>
        <w:rPr>
          <w:rFonts w:hint="eastAsia"/>
          <w:b/>
          <w:color w:val="auto"/>
          <w:highlight w:val="none"/>
        </w:rPr>
        <w:t>广东省机电设备招标有限公司</w:t>
      </w:r>
    </w:p>
    <w:p w14:paraId="1F8DE8D4">
      <w:pPr>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关于贵司发布</w:t>
      </w:r>
      <w:r>
        <w:rPr>
          <w:rFonts w:hint="eastAsia" w:ascii="宋体" w:hAnsi="宋体"/>
          <w:b/>
          <w:bCs/>
          <w:color w:val="auto"/>
          <w:szCs w:val="21"/>
          <w:highlight w:val="none"/>
          <w:u w:val="single"/>
          <w:lang w:eastAsia="zh-CN"/>
        </w:rPr>
        <w:t>广东省未成年犯管教所南、北门防冲撞液压式自动升降柱采购项目</w:t>
      </w:r>
      <w:r>
        <w:rPr>
          <w:rFonts w:hint="eastAsia" w:ascii="宋体" w:hAnsi="宋体"/>
          <w:color w:val="auto"/>
          <w:szCs w:val="21"/>
          <w:highlight w:val="none"/>
        </w:rPr>
        <w:t>的</w:t>
      </w:r>
      <w:r>
        <w:rPr>
          <w:rFonts w:hint="eastAsia" w:ascii="宋体" w:hAnsi="宋体"/>
          <w:color w:val="auto"/>
          <w:szCs w:val="21"/>
          <w:highlight w:val="none"/>
          <w:lang w:eastAsia="zh-CN"/>
        </w:rPr>
        <w:t>竞价邀请函</w:t>
      </w:r>
      <w:r>
        <w:rPr>
          <w:rFonts w:hint="eastAsia" w:ascii="宋体" w:hAnsi="宋体"/>
          <w:color w:val="auto"/>
          <w:szCs w:val="21"/>
          <w:highlight w:val="none"/>
        </w:rPr>
        <w:t>，本公司（企业）愿意参加采购活动，并作出如下声明：</w:t>
      </w:r>
    </w:p>
    <w:p w14:paraId="69DA8359">
      <w:pPr>
        <w:pStyle w:val="61"/>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54AFF85F">
      <w:pPr>
        <w:pStyle w:val="61"/>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本公司（企业）具备竞价文件</w:t>
      </w:r>
      <w:r>
        <w:rPr>
          <w:rFonts w:hint="eastAsia" w:ascii="宋体" w:hAnsi="宋体"/>
          <w:color w:val="auto"/>
          <w:highlight w:val="none"/>
          <w:lang w:eastAsia="zh-CN"/>
        </w:rPr>
        <w:t>竞价邀请函</w:t>
      </w:r>
      <w:r>
        <w:rPr>
          <w:rFonts w:hint="eastAsia" w:ascii="宋体" w:hAnsi="宋体"/>
          <w:color w:val="auto"/>
          <w:highlight w:val="none"/>
        </w:rPr>
        <w:t>中的“供应商资格要求”，不转包、不分包，未组成联合体参加本次竞价活动，并已清楚竞价文件的要求及有关文件规定，</w:t>
      </w:r>
    </w:p>
    <w:p w14:paraId="46F95F64">
      <w:pPr>
        <w:pStyle w:val="61"/>
        <w:tabs>
          <w:tab w:val="left" w:pos="426"/>
        </w:tabs>
        <w:snapToGrid w:val="0"/>
        <w:spacing w:before="156"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采购合同中的各项条款、内容及要求给予充分考虑，明确承诺对于本项目的合同中的各项条款、内容及要求均为完全响应，不存在任意一条负偏离或不响应的情况。本公司（企业）清楚，若对于合同各项条款存在任意一条负偏离或不响应的情况，不被推荐为成交候选人的要求。</w:t>
      </w:r>
    </w:p>
    <w:p w14:paraId="0C5FD684">
      <w:pPr>
        <w:pStyle w:val="61"/>
        <w:tabs>
          <w:tab w:val="left" w:pos="426"/>
        </w:tabs>
        <w:snapToGrid w:val="0"/>
        <w:spacing w:before="156"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本公司（企业）承诺在本次采购活动中，如有违法、违规、弄虚作假行为，所造成的损失、不良后果及法律责任，一律由我公司（企业）承担。</w:t>
      </w:r>
    </w:p>
    <w:p w14:paraId="72AC3704">
      <w:pPr>
        <w:autoSpaceDE w:val="0"/>
        <w:autoSpaceDN w:val="0"/>
        <w:adjustRightInd w:val="0"/>
        <w:spacing w:before="156" w:beforeLines="50" w:line="360" w:lineRule="auto"/>
        <w:ind w:firstLine="413" w:firstLineChars="196"/>
        <w:rPr>
          <w:rFonts w:ascii="宋体" w:hAnsi="宋体"/>
          <w:b/>
          <w:color w:val="auto"/>
          <w:highlight w:val="none"/>
        </w:rPr>
      </w:pPr>
      <w:r>
        <w:rPr>
          <w:rFonts w:hint="eastAsia" w:ascii="宋体" w:hAnsi="宋体"/>
          <w:b/>
          <w:color w:val="auto"/>
          <w:highlight w:val="none"/>
        </w:rPr>
        <w:t>备注：</w:t>
      </w:r>
    </w:p>
    <w:p w14:paraId="5036B0CC">
      <w:pPr>
        <w:pStyle w:val="38"/>
        <w:numPr>
          <w:ilvl w:val="0"/>
          <w:numId w:val="16"/>
        </w:numPr>
        <w:autoSpaceDE w:val="0"/>
        <w:autoSpaceDN w:val="0"/>
        <w:adjustRightInd w:val="0"/>
        <w:spacing w:before="156"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0450C90E">
      <w:pPr>
        <w:pStyle w:val="38"/>
        <w:numPr>
          <w:ilvl w:val="0"/>
          <w:numId w:val="16"/>
        </w:numPr>
        <w:snapToGrid w:val="0"/>
        <w:spacing w:before="156"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0D86CC43">
      <w:pPr>
        <w:widowControl/>
        <w:spacing w:before="156" w:beforeLines="50" w:line="360" w:lineRule="auto"/>
        <w:jc w:val="left"/>
        <w:rPr>
          <w:rFonts w:ascii="宋体" w:hAnsi="宋体"/>
          <w:b/>
          <w:bCs/>
          <w:color w:val="auto"/>
          <w:kern w:val="0"/>
          <w:sz w:val="32"/>
          <w:szCs w:val="32"/>
          <w:highlight w:val="none"/>
        </w:rPr>
      </w:pPr>
    </w:p>
    <w:p w14:paraId="2BE267F2">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14:paraId="07FED935">
      <w:pPr>
        <w:spacing w:before="156" w:beforeLines="50" w:line="360" w:lineRule="auto"/>
        <w:ind w:firstLine="105" w:firstLineChars="50"/>
        <w:jc w:val="left"/>
        <w:rPr>
          <w:rFonts w:ascii="宋体" w:hAnsi="宋体"/>
          <w:color w:val="auto"/>
          <w:szCs w:val="21"/>
          <w:highlight w:val="none"/>
          <w:u w:val="single"/>
        </w:rPr>
      </w:pPr>
    </w:p>
    <w:p w14:paraId="19DBA089">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日期：</w:t>
      </w:r>
    </w:p>
    <w:p w14:paraId="65F56183">
      <w:pPr>
        <w:widowControl/>
        <w:spacing w:before="156" w:beforeLines="50" w:line="360" w:lineRule="auto"/>
        <w:ind w:firstLine="0"/>
        <w:jc w:val="left"/>
        <w:rPr>
          <w:rFonts w:ascii="宋体" w:hAnsi="宋体"/>
          <w:b/>
          <w:bCs/>
          <w:color w:val="auto"/>
          <w:kern w:val="0"/>
          <w:sz w:val="32"/>
          <w:szCs w:val="32"/>
          <w:highlight w:val="none"/>
          <w:lang w:val="zh-CN"/>
        </w:rPr>
      </w:pPr>
    </w:p>
    <w:p w14:paraId="2A2A31E0">
      <w:pPr>
        <w:pStyle w:val="4"/>
        <w:pageBreakBefore/>
        <w:adjustRightInd w:val="0"/>
        <w:snapToGrid w:val="0"/>
        <w:spacing w:before="0" w:after="0" w:line="360" w:lineRule="auto"/>
        <w:jc w:val="center"/>
        <w:rPr>
          <w:b w:val="0"/>
          <w:color w:val="auto"/>
          <w:highlight w:val="none"/>
        </w:rPr>
      </w:pPr>
      <w:r>
        <w:rPr>
          <w:rFonts w:hint="eastAsia"/>
          <w:b w:val="0"/>
          <w:color w:val="auto"/>
          <w:highlight w:val="none"/>
        </w:rPr>
        <w:t>法定代表人授权委托书</w:t>
      </w:r>
    </w:p>
    <w:p w14:paraId="4C0D47B8">
      <w:pPr>
        <w:pStyle w:val="13"/>
        <w:spacing w:before="156" w:beforeLines="50" w:line="360" w:lineRule="auto"/>
        <w:ind w:firstLine="420" w:firstLineChars="200"/>
        <w:rPr>
          <w:color w:val="auto"/>
          <w:sz w:val="21"/>
          <w:highlight w:val="none"/>
        </w:rPr>
      </w:pPr>
      <w:r>
        <w:rPr>
          <w:rFonts w:hint="eastAsia"/>
          <w:color w:val="auto"/>
          <w:sz w:val="21"/>
          <w:highlight w:val="none"/>
        </w:rPr>
        <w:t>本授权委托书声明：注册于</w:t>
      </w:r>
      <w:r>
        <w:rPr>
          <w:rFonts w:hint="eastAsia"/>
          <w:color w:val="auto"/>
          <w:sz w:val="21"/>
          <w:highlight w:val="none"/>
          <w:u w:val="single"/>
        </w:rPr>
        <w:t xml:space="preserve"> （供应商地址）  </w:t>
      </w:r>
      <w:r>
        <w:rPr>
          <w:rFonts w:hint="eastAsia"/>
          <w:color w:val="auto"/>
          <w:sz w:val="21"/>
          <w:highlight w:val="none"/>
        </w:rPr>
        <w:t>的</w:t>
      </w:r>
      <w:r>
        <w:rPr>
          <w:rFonts w:hint="eastAsia"/>
          <w:color w:val="auto"/>
          <w:sz w:val="21"/>
          <w:highlight w:val="none"/>
          <w:u w:val="single"/>
        </w:rPr>
        <w:t xml:space="preserve">  （供应商名称）    </w:t>
      </w:r>
      <w:r>
        <w:rPr>
          <w:rFonts w:hint="eastAsia"/>
          <w:color w:val="auto"/>
          <w:sz w:val="21"/>
          <w:highlight w:val="none"/>
        </w:rPr>
        <w:t>在下面签名的</w:t>
      </w:r>
      <w:r>
        <w:rPr>
          <w:rFonts w:hint="eastAsia"/>
          <w:color w:val="auto"/>
          <w:sz w:val="21"/>
          <w:highlight w:val="none"/>
          <w:u w:val="single"/>
        </w:rPr>
        <w:t>（法定代表人姓名、职务）</w:t>
      </w:r>
      <w:r>
        <w:rPr>
          <w:rFonts w:hint="eastAsia"/>
          <w:color w:val="auto"/>
          <w:sz w:val="21"/>
          <w:highlight w:val="none"/>
        </w:rPr>
        <w:t>在此授权本公司</w:t>
      </w:r>
      <w:r>
        <w:rPr>
          <w:rFonts w:hint="eastAsia"/>
          <w:color w:val="auto"/>
          <w:sz w:val="21"/>
          <w:highlight w:val="none"/>
          <w:u w:val="single"/>
        </w:rPr>
        <w:t>（被授权人姓名、职务）</w:t>
      </w:r>
      <w:r>
        <w:rPr>
          <w:rFonts w:hint="eastAsia"/>
          <w:color w:val="auto"/>
          <w:sz w:val="21"/>
          <w:highlight w:val="none"/>
        </w:rPr>
        <w:t>作为我公司的合法代理人，就</w:t>
      </w:r>
      <w:r>
        <w:rPr>
          <w:rFonts w:hint="eastAsia"/>
          <w:b/>
          <w:bCs/>
          <w:color w:val="auto"/>
          <w:sz w:val="21"/>
          <w:highlight w:val="none"/>
          <w:u w:val="single"/>
          <w:lang w:eastAsia="zh-CN"/>
        </w:rPr>
        <w:t>广东省未成年犯管教所南、北门防冲撞液压式自动升降柱采购项目</w:t>
      </w:r>
      <w:r>
        <w:rPr>
          <w:rFonts w:hint="eastAsia"/>
          <w:color w:val="auto"/>
          <w:sz w:val="21"/>
          <w:highlight w:val="none"/>
        </w:rPr>
        <w:t>的竞价采购活动，采购合同的签订、执行、完成和售后服务，作为供应商代表以我方的名义处理一切与之有关的事务。</w:t>
      </w:r>
    </w:p>
    <w:p w14:paraId="76EC0405">
      <w:pPr>
        <w:pStyle w:val="13"/>
        <w:spacing w:before="156" w:beforeLines="50" w:line="360" w:lineRule="auto"/>
        <w:ind w:firstLine="420" w:firstLineChars="200"/>
        <w:rPr>
          <w:color w:val="auto"/>
          <w:sz w:val="21"/>
          <w:highlight w:val="none"/>
        </w:rPr>
      </w:pPr>
      <w:r>
        <w:rPr>
          <w:rFonts w:hint="eastAsia"/>
          <w:color w:val="auto"/>
          <w:sz w:val="21"/>
          <w:highlight w:val="none"/>
        </w:rPr>
        <w:t>被授权人（供应商授权代表）无转委托权限。</w:t>
      </w:r>
    </w:p>
    <w:p w14:paraId="01712677">
      <w:pPr>
        <w:spacing w:before="156" w:beforeLines="50" w:line="360" w:lineRule="auto"/>
        <w:ind w:firstLine="420" w:firstLineChars="200"/>
        <w:rPr>
          <w:rFonts w:ascii="宋体"/>
          <w:color w:val="auto"/>
          <w:szCs w:val="21"/>
          <w:highlight w:val="none"/>
        </w:rPr>
      </w:pPr>
      <w:r>
        <w:rPr>
          <w:rFonts w:hint="eastAsia" w:ascii="宋体"/>
          <w:color w:val="auto"/>
          <w:szCs w:val="21"/>
          <w:highlight w:val="none"/>
        </w:rPr>
        <w:t>本授权书自法定代表人签字之日起生效，特此声明。</w:t>
      </w:r>
    </w:p>
    <w:p w14:paraId="478ECE9F">
      <w:pPr>
        <w:spacing w:before="156" w:beforeLines="50" w:line="360" w:lineRule="auto"/>
        <w:rPr>
          <w:rFonts w:ascii="宋体"/>
          <w:color w:val="auto"/>
          <w:szCs w:val="21"/>
          <w:highlight w:val="none"/>
        </w:rPr>
      </w:pPr>
    </w:p>
    <w:p w14:paraId="649E8CFC">
      <w:pPr>
        <w:spacing w:before="156" w:beforeLines="50" w:line="360" w:lineRule="auto"/>
        <w:rPr>
          <w:rFonts w:ascii="宋体"/>
          <w:color w:val="auto"/>
          <w:szCs w:val="21"/>
          <w:highlight w:val="none"/>
        </w:rPr>
      </w:pPr>
      <w:r>
        <w:rPr>
          <w:rFonts w:hint="eastAsia" w:ascii="宋体"/>
          <w:color w:val="auto"/>
          <w:szCs w:val="21"/>
          <w:highlight w:val="none"/>
        </w:rPr>
        <w:t>供应商名称（加</w:t>
      </w:r>
      <w:r>
        <w:rPr>
          <w:rFonts w:hint="eastAsia" w:ascii="宋体" w:hAnsi="宋体"/>
          <w:color w:val="auto"/>
          <w:szCs w:val="21"/>
          <w:highlight w:val="none"/>
        </w:rPr>
        <w:t>盖单位</w:t>
      </w:r>
      <w:r>
        <w:rPr>
          <w:rFonts w:hint="eastAsia" w:ascii="宋体"/>
          <w:color w:val="auto"/>
          <w:szCs w:val="21"/>
          <w:highlight w:val="none"/>
        </w:rPr>
        <w:t>公章）：</w:t>
      </w:r>
    </w:p>
    <w:p w14:paraId="75CD5E7C">
      <w:pPr>
        <w:spacing w:before="156" w:beforeLines="50" w:line="360" w:lineRule="auto"/>
        <w:rPr>
          <w:rFonts w:ascii="宋体"/>
          <w:color w:val="auto"/>
          <w:szCs w:val="21"/>
          <w:highlight w:val="none"/>
        </w:rPr>
      </w:pPr>
      <w:r>
        <w:rPr>
          <w:rFonts w:hint="eastAsia" w:ascii="宋体"/>
          <w:color w:val="auto"/>
          <w:szCs w:val="21"/>
          <w:highlight w:val="none"/>
        </w:rPr>
        <w:t>地      址：</w:t>
      </w:r>
    </w:p>
    <w:p w14:paraId="05C2FBD5">
      <w:pPr>
        <w:tabs>
          <w:tab w:val="left" w:pos="3780"/>
        </w:tabs>
        <w:spacing w:before="156" w:beforeLines="50" w:line="360" w:lineRule="auto"/>
        <w:rPr>
          <w:rFonts w:ascii="宋体"/>
          <w:color w:val="auto"/>
          <w:szCs w:val="21"/>
          <w:highlight w:val="none"/>
        </w:rPr>
      </w:pPr>
      <w:r>
        <w:rPr>
          <w:rFonts w:hint="eastAsia" w:ascii="宋体"/>
          <w:color w:val="auto"/>
          <w:szCs w:val="21"/>
          <w:highlight w:val="none"/>
        </w:rPr>
        <w:t>法定代表人（签字或盖姓名章）：                         签字日期：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8CFA696">
      <w:pPr>
        <w:spacing w:before="156" w:beforeLines="50" w:line="360" w:lineRule="auto"/>
        <w:rPr>
          <w:rFonts w:ascii="宋体"/>
          <w:color w:val="auto"/>
          <w:szCs w:val="21"/>
          <w:highlight w:val="none"/>
        </w:rPr>
      </w:pPr>
      <w:r>
        <w:rPr>
          <w:rFonts w:ascii="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F10D10">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060FB9">
                              <w:pPr>
                                <w:jc w:val="center"/>
                              </w:pPr>
                              <w:r>
                                <w:rPr>
                                  <w:rFonts w:hint="eastAsia"/>
                                </w:rPr>
                                <w:t>身份证（反面）</w:t>
                              </w:r>
                            </w:p>
                            <w:p w14:paraId="32585C83"/>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7BF10D10">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4060FB9">
                        <w:pPr>
                          <w:jc w:val="center"/>
                        </w:pPr>
                        <w:r>
                          <w:rPr>
                            <w:rFonts w:hint="eastAsia"/>
                          </w:rPr>
                          <w:t>身份证（反面）</w:t>
                        </w:r>
                      </w:p>
                      <w:p w14:paraId="32585C83"/>
                    </w:txbxContent>
                  </v:textbox>
                </v:rect>
              </v:group>
            </w:pict>
          </mc:Fallback>
        </mc:AlternateContent>
      </w:r>
    </w:p>
    <w:p w14:paraId="2101F339">
      <w:pPr>
        <w:spacing w:before="156" w:beforeLines="50" w:line="360" w:lineRule="auto"/>
        <w:rPr>
          <w:rFonts w:ascii="宋体"/>
          <w:color w:val="auto"/>
          <w:szCs w:val="21"/>
          <w:highlight w:val="none"/>
        </w:rPr>
      </w:pPr>
    </w:p>
    <w:p w14:paraId="418B77AE">
      <w:pPr>
        <w:spacing w:before="156" w:beforeLines="50" w:line="360" w:lineRule="auto"/>
        <w:rPr>
          <w:rFonts w:ascii="宋体"/>
          <w:color w:val="auto"/>
          <w:szCs w:val="21"/>
          <w:highlight w:val="none"/>
        </w:rPr>
      </w:pPr>
    </w:p>
    <w:p w14:paraId="640237B9">
      <w:pPr>
        <w:spacing w:before="156" w:beforeLines="50" w:line="360" w:lineRule="auto"/>
        <w:rPr>
          <w:rFonts w:ascii="宋体"/>
          <w:color w:val="auto"/>
          <w:szCs w:val="21"/>
          <w:highlight w:val="none"/>
        </w:rPr>
      </w:pPr>
    </w:p>
    <w:p w14:paraId="32FBC6CD">
      <w:pPr>
        <w:spacing w:before="156" w:beforeLines="50" w:line="360" w:lineRule="auto"/>
        <w:rPr>
          <w:rFonts w:ascii="宋体"/>
          <w:color w:val="auto"/>
          <w:szCs w:val="21"/>
          <w:highlight w:val="none"/>
        </w:rPr>
      </w:pPr>
    </w:p>
    <w:p w14:paraId="1DD04BCE">
      <w:pPr>
        <w:spacing w:before="156" w:beforeLines="50" w:line="360" w:lineRule="auto"/>
        <w:rPr>
          <w:rFonts w:ascii="宋体"/>
          <w:color w:val="auto"/>
          <w:szCs w:val="21"/>
          <w:highlight w:val="none"/>
        </w:rPr>
      </w:pPr>
    </w:p>
    <w:p w14:paraId="47E6C7AB">
      <w:pPr>
        <w:spacing w:before="156" w:beforeLines="50" w:line="360" w:lineRule="auto"/>
        <w:rPr>
          <w:rFonts w:ascii="宋体"/>
          <w:color w:val="auto"/>
          <w:szCs w:val="21"/>
          <w:highlight w:val="none"/>
        </w:rPr>
      </w:pPr>
    </w:p>
    <w:p w14:paraId="2FB2DC64">
      <w:pPr>
        <w:spacing w:before="156" w:beforeLines="50" w:line="360" w:lineRule="auto"/>
        <w:rPr>
          <w:rFonts w:ascii="宋体" w:hAnsi="宋体"/>
          <w:color w:val="auto"/>
          <w:highlight w:val="none"/>
        </w:rPr>
      </w:pPr>
      <w:r>
        <w:rPr>
          <w:rFonts w:ascii="黑体" w:eastAsia="黑体"/>
          <w:color w:val="auto"/>
          <w:szCs w:val="21"/>
          <w:highlight w:val="none"/>
        </w:rPr>
        <w:br w:type="page"/>
      </w:r>
    </w:p>
    <w:p w14:paraId="6879F349">
      <w:pPr>
        <w:pStyle w:val="4"/>
        <w:adjustRightInd w:val="0"/>
        <w:snapToGrid w:val="0"/>
        <w:spacing w:before="0" w:after="0" w:line="360" w:lineRule="auto"/>
        <w:jc w:val="center"/>
        <w:rPr>
          <w:b w:val="0"/>
          <w:color w:val="auto"/>
          <w:highlight w:val="none"/>
        </w:rPr>
      </w:pPr>
      <w:r>
        <w:rPr>
          <w:rFonts w:hint="eastAsia"/>
          <w:b w:val="0"/>
          <w:color w:val="auto"/>
          <w:highlight w:val="none"/>
        </w:rPr>
        <w:t>法定代表人证明书</w:t>
      </w:r>
    </w:p>
    <w:p w14:paraId="0E58B117">
      <w:pPr>
        <w:tabs>
          <w:tab w:val="left" w:pos="900"/>
        </w:tabs>
        <w:spacing w:before="156" w:beforeLines="50" w:line="360" w:lineRule="auto"/>
        <w:ind w:firstLine="945" w:firstLineChars="45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同志，现任我单位</w:t>
      </w:r>
      <w:r>
        <w:rPr>
          <w:rFonts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14:paraId="4374780F">
      <w:pPr>
        <w:spacing w:before="156" w:beforeLines="50" w:line="360" w:lineRule="auto"/>
        <w:ind w:firstLine="420" w:firstLineChars="200"/>
        <w:rPr>
          <w:rFonts w:ascii="宋体" w:hAnsi="宋体"/>
          <w:color w:val="auto"/>
          <w:szCs w:val="21"/>
          <w:highlight w:val="none"/>
        </w:rPr>
      </w:pPr>
      <w:r>
        <w:rPr>
          <w:rFonts w:hint="eastAsia" w:ascii="宋体"/>
          <w:color w:val="auto"/>
          <w:szCs w:val="21"/>
          <w:highlight w:val="none"/>
        </w:rPr>
        <w:t>本证明书自签发之日起生效，</w:t>
      </w:r>
      <w:r>
        <w:rPr>
          <w:rFonts w:hint="eastAsia" w:ascii="宋体" w:hAnsi="宋体"/>
          <w:color w:val="auto"/>
          <w:szCs w:val="21"/>
          <w:highlight w:val="none"/>
        </w:rPr>
        <w:t>有效期与本公司参与竞价的文件</w:t>
      </w:r>
      <w:r>
        <w:rPr>
          <w:rFonts w:hint="eastAsia" w:ascii="宋体" w:hAnsi="宋体"/>
          <w:color w:val="auto"/>
          <w:szCs w:val="21"/>
          <w:highlight w:val="none"/>
          <w:lang w:eastAsia="zh-CN"/>
        </w:rPr>
        <w:t>成交</w:t>
      </w:r>
      <w:r>
        <w:rPr>
          <w:rFonts w:hint="eastAsia" w:ascii="宋体" w:hAnsi="宋体"/>
          <w:color w:val="auto"/>
          <w:szCs w:val="21"/>
          <w:highlight w:val="none"/>
        </w:rPr>
        <w:t>注的有效期相同。</w:t>
      </w:r>
    </w:p>
    <w:p w14:paraId="6698E38B">
      <w:pPr>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p>
    <w:p w14:paraId="43A7D122">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营业执照（注册号）：                       </w:t>
      </w:r>
    </w:p>
    <w:p w14:paraId="5FDE0B58">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经济性质：</w:t>
      </w:r>
    </w:p>
    <w:p w14:paraId="2D5C6468">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主营（产）：</w:t>
      </w:r>
    </w:p>
    <w:p w14:paraId="6A2F8DE8">
      <w:pPr>
        <w:spacing w:before="156" w:beforeLines="50" w:line="360" w:lineRule="auto"/>
        <w:ind w:firstLine="840" w:firstLineChars="400"/>
        <w:rPr>
          <w:rFonts w:ascii="宋体" w:hAnsi="宋体"/>
          <w:color w:val="auto"/>
          <w:szCs w:val="21"/>
          <w:highlight w:val="none"/>
        </w:rPr>
      </w:pPr>
      <w:r>
        <w:rPr>
          <w:rFonts w:hint="eastAsia" w:ascii="宋体" w:hAnsi="宋体"/>
          <w:color w:val="auto"/>
          <w:szCs w:val="21"/>
          <w:highlight w:val="none"/>
        </w:rPr>
        <w:t>兼营（产）：</w:t>
      </w:r>
    </w:p>
    <w:p w14:paraId="2D19E834">
      <w:pPr>
        <w:spacing w:before="156" w:beforeLines="50" w:line="360" w:lineRule="auto"/>
        <w:ind w:firstLine="840" w:firstLineChars="400"/>
        <w:rPr>
          <w:rFonts w:ascii="宋体" w:hAnsi="宋体"/>
          <w:color w:val="auto"/>
          <w:szCs w:val="21"/>
          <w:highlight w:val="none"/>
        </w:rPr>
      </w:pPr>
      <w:r>
        <w:rPr>
          <w:rFonts w:ascii="宋体" w:hAnsi="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10" name="组合 10"/>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11"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AF107E">
                              <w:pPr>
                                <w:jc w:val="center"/>
                              </w:pPr>
                              <w:r>
                                <w:rPr>
                                  <w:rFonts w:hint="eastAsia"/>
                                </w:rPr>
                                <w:t>身份证（正面）</w:t>
                              </w:r>
                            </w:p>
                            <w:p w14:paraId="5D6C4538">
                              <w:pPr>
                                <w:ind w:firstLine="1050" w:firstLineChars="500"/>
                              </w:pPr>
                            </w:p>
                          </w:txbxContent>
                        </wps:txbx>
                        <wps:bodyPr upright="1"/>
                      </wps:wsp>
                      <wps:wsp>
                        <wps:cNvPr id="12"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197A16">
                              <w:pPr>
                                <w:jc w:val="center"/>
                              </w:pPr>
                              <w:r>
                                <w:rPr>
                                  <w:rFonts w:hint="eastAsia"/>
                                </w:rPr>
                                <w:t>身份证（反面）</w:t>
                              </w:r>
                            </w:p>
                            <w:p w14:paraId="0C39C003">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YSSmk2QAAAAgBAAAPAAAAAAAAAAEAIAAAACIAAABkcnMvZG93bnJldi54bWxQSwECFAAUAAAA&#10;CACHTuJAv/HPqZgCAACrBwAADgAAAAAAAAABACAAAAAoAQAAZHJzL2Uyb0RvYy54bWxQSwUGAAAA&#10;AAYABgBZAQAAMgYAAAAA&#10;">
                <o:lock v:ext="edit" aspectratio="f"/>
                <v:rect id="矩形 4" o:spid="_x0000_s1026" o:spt="1" style="position:absolute;left:1146;top:7566;height:2609;width:416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BAF107E">
                        <w:pPr>
                          <w:jc w:val="center"/>
                        </w:pPr>
                        <w:r>
                          <w:rPr>
                            <w:rFonts w:hint="eastAsia"/>
                          </w:rPr>
                          <w:t>身份证（正面）</w:t>
                        </w:r>
                      </w:p>
                      <w:p w14:paraId="5D6C4538">
                        <w:pPr>
                          <w:ind w:firstLine="1050" w:firstLineChars="500"/>
                        </w:pPr>
                      </w:p>
                    </w:txbxContent>
                  </v:textbox>
                </v:rect>
                <v:rect id="矩形 5" o:spid="_x0000_s1026" o:spt="1" style="position:absolute;left:5719;top:7566;height:2609;width:414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E197A16">
                        <w:pPr>
                          <w:jc w:val="center"/>
                        </w:pPr>
                        <w:r>
                          <w:rPr>
                            <w:rFonts w:hint="eastAsia"/>
                          </w:rPr>
                          <w:t>身份证（反面）</w:t>
                        </w:r>
                      </w:p>
                      <w:p w14:paraId="0C39C003">
                        <w:pPr>
                          <w:ind w:firstLine="1050" w:firstLineChars="500"/>
                        </w:pPr>
                      </w:p>
                    </w:txbxContent>
                  </v:textbox>
                </v:rect>
              </v:group>
            </w:pict>
          </mc:Fallback>
        </mc:AlternateContent>
      </w:r>
    </w:p>
    <w:p w14:paraId="01941713">
      <w:pPr>
        <w:spacing w:before="156" w:beforeLines="50" w:line="360" w:lineRule="auto"/>
        <w:rPr>
          <w:rFonts w:ascii="宋体"/>
          <w:b/>
          <w:bCs/>
          <w:color w:val="auto"/>
          <w:szCs w:val="21"/>
          <w:highlight w:val="none"/>
        </w:rPr>
      </w:pPr>
    </w:p>
    <w:p w14:paraId="3D644C20">
      <w:pPr>
        <w:spacing w:before="156" w:beforeLines="50" w:line="360" w:lineRule="auto"/>
        <w:rPr>
          <w:rFonts w:ascii="宋体"/>
          <w:b/>
          <w:bCs/>
          <w:color w:val="auto"/>
          <w:szCs w:val="21"/>
          <w:highlight w:val="none"/>
        </w:rPr>
      </w:pPr>
    </w:p>
    <w:p w14:paraId="2A9FC0EA">
      <w:pPr>
        <w:spacing w:before="156" w:beforeLines="50" w:line="360" w:lineRule="auto"/>
        <w:rPr>
          <w:rFonts w:ascii="宋体"/>
          <w:b/>
          <w:bCs/>
          <w:color w:val="auto"/>
          <w:highlight w:val="none"/>
        </w:rPr>
      </w:pPr>
    </w:p>
    <w:p w14:paraId="7D43A318">
      <w:pPr>
        <w:spacing w:before="156" w:beforeLines="50" w:line="360" w:lineRule="auto"/>
        <w:rPr>
          <w:rFonts w:ascii="宋体"/>
          <w:b/>
          <w:bCs/>
          <w:color w:val="auto"/>
          <w:highlight w:val="none"/>
        </w:rPr>
      </w:pPr>
    </w:p>
    <w:p w14:paraId="7E5765B1">
      <w:pPr>
        <w:spacing w:before="156" w:beforeLines="50" w:line="360" w:lineRule="auto"/>
        <w:rPr>
          <w:rFonts w:ascii="宋体"/>
          <w:b/>
          <w:bCs/>
          <w:color w:val="auto"/>
          <w:highlight w:val="none"/>
        </w:rPr>
      </w:pPr>
    </w:p>
    <w:p w14:paraId="70605504">
      <w:pPr>
        <w:spacing w:before="156" w:beforeLines="50" w:line="360" w:lineRule="auto"/>
        <w:rPr>
          <w:rFonts w:ascii="宋体"/>
          <w:b/>
          <w:bCs/>
          <w:color w:val="auto"/>
          <w:highlight w:val="none"/>
        </w:rPr>
      </w:pPr>
    </w:p>
    <w:p w14:paraId="088D6BF3">
      <w:pPr>
        <w:spacing w:before="156" w:beforeLines="50" w:line="360" w:lineRule="auto"/>
        <w:rPr>
          <w:rFonts w:ascii="宋体"/>
          <w:b/>
          <w:bCs/>
          <w:color w:val="auto"/>
          <w:highlight w:val="none"/>
        </w:rPr>
      </w:pPr>
      <w:r>
        <w:rPr>
          <w:rFonts w:hint="eastAsia" w:ascii="宋体"/>
          <w:b/>
          <w:bCs/>
          <w:color w:val="auto"/>
          <w:highlight w:val="none"/>
        </w:rPr>
        <w:t xml:space="preserve">                         </w:t>
      </w:r>
    </w:p>
    <w:p w14:paraId="1ADC5479">
      <w:pPr>
        <w:spacing w:before="156" w:beforeLines="50" w:line="360" w:lineRule="auto"/>
        <w:jc w:val="left"/>
        <w:rPr>
          <w:rFonts w:ascii="宋体" w:hAnsi="宋体"/>
          <w:color w:val="auto"/>
          <w:szCs w:val="21"/>
          <w:highlight w:val="none"/>
          <w:u w:val="single"/>
        </w:rPr>
      </w:pPr>
      <w:r>
        <w:rPr>
          <w:rFonts w:hint="eastAsia" w:ascii="宋体" w:hAnsi="宋体"/>
          <w:color w:val="auto"/>
          <w:spacing w:val="4"/>
          <w:szCs w:val="21"/>
          <w:highlight w:val="none"/>
        </w:rPr>
        <w:t>供应商名称（加</w:t>
      </w:r>
      <w:r>
        <w:rPr>
          <w:rFonts w:hint="eastAsia" w:ascii="宋体" w:hAnsi="宋体"/>
          <w:color w:val="auto"/>
          <w:szCs w:val="21"/>
          <w:highlight w:val="none"/>
        </w:rPr>
        <w:t>盖单位</w:t>
      </w:r>
      <w:r>
        <w:rPr>
          <w:rFonts w:hint="eastAsia" w:ascii="宋体" w:hAnsi="宋体"/>
          <w:color w:val="auto"/>
          <w:spacing w:val="4"/>
          <w:szCs w:val="21"/>
          <w:highlight w:val="none"/>
        </w:rPr>
        <w:t>公章）：</w:t>
      </w:r>
    </w:p>
    <w:p w14:paraId="4EC9B909">
      <w:pPr>
        <w:spacing w:before="156" w:beforeLines="50" w:line="360" w:lineRule="auto"/>
        <w:ind w:firstLine="105" w:firstLineChars="50"/>
        <w:jc w:val="left"/>
        <w:rPr>
          <w:rFonts w:ascii="宋体" w:hAnsi="宋体"/>
          <w:color w:val="auto"/>
          <w:szCs w:val="21"/>
          <w:highlight w:val="none"/>
          <w:u w:val="single"/>
        </w:rPr>
      </w:pPr>
    </w:p>
    <w:p w14:paraId="4B2B0930">
      <w:pPr>
        <w:spacing w:line="360" w:lineRule="auto"/>
        <w:ind w:firstLineChars="221"/>
        <w:rPr>
          <w:rFonts w:hint="eastAsia" w:ascii="宋体" w:hAnsi="宋体"/>
          <w:color w:val="auto"/>
          <w:spacing w:val="4"/>
          <w:szCs w:val="21"/>
          <w:highlight w:val="none"/>
        </w:rPr>
        <w:sectPr>
          <w:type w:val="continuous"/>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pacing w:val="4"/>
          <w:szCs w:val="21"/>
          <w:highlight w:val="none"/>
        </w:rPr>
        <w:t>日期：</w:t>
      </w:r>
    </w:p>
    <w:p w14:paraId="065DEC19">
      <w:pPr>
        <w:pStyle w:val="13"/>
        <w:jc w:val="center"/>
        <w:rPr>
          <w:rFonts w:hint="eastAsia"/>
          <w:highlight w:val="none"/>
        </w:rPr>
      </w:pPr>
      <w:r>
        <w:rPr>
          <w:rFonts w:hint="eastAsia" w:ascii="宋体" w:hAnsi="宋体" w:eastAsia="宋体" w:cs="宋体"/>
          <w:b/>
          <w:bCs/>
          <w:kern w:val="2"/>
          <w:sz w:val="32"/>
          <w:szCs w:val="32"/>
          <w:highlight w:val="none"/>
          <w:lang w:val="en-US" w:eastAsia="zh-CN" w:bidi="ar-SA"/>
        </w:rPr>
        <w:t>投标人认为有必要提交的其它文件</w:t>
      </w:r>
      <w:r>
        <w:rPr>
          <w:rFonts w:hint="eastAsia" w:hAnsi="宋体" w:cs="宋体"/>
          <w:b/>
          <w:bCs/>
          <w:kern w:val="2"/>
          <w:sz w:val="32"/>
          <w:szCs w:val="32"/>
          <w:highlight w:val="none"/>
          <w:lang w:val="en-US" w:eastAsia="zh-CN" w:bidi="ar-SA"/>
        </w:rPr>
        <w:t>（含营业执照等）</w:t>
      </w:r>
    </w:p>
    <w:p w14:paraId="2A788274">
      <w:pPr>
        <w:widowControl/>
        <w:jc w:val="left"/>
        <w:rPr>
          <w:rFonts w:ascii="宋体" w:hAnsi="宋体"/>
          <w:b/>
          <w:bCs/>
          <w:color w:val="auto"/>
          <w:kern w:val="0"/>
          <w:sz w:val="32"/>
          <w:szCs w:val="32"/>
          <w:highlight w:val="none"/>
          <w:lang w:val="zh-CN"/>
        </w:rPr>
      </w:pPr>
      <w:r>
        <w:rPr>
          <w:rFonts w:ascii="宋体" w:hAnsi="宋体"/>
          <w:b/>
          <w:bCs/>
          <w:color w:val="auto"/>
          <w:kern w:val="0"/>
          <w:sz w:val="32"/>
          <w:szCs w:val="32"/>
          <w:highlight w:val="none"/>
          <w:lang w:val="zh-CN"/>
        </w:rPr>
        <w:br w:type="page"/>
      </w:r>
    </w:p>
    <w:p w14:paraId="3F0DB140">
      <w:pPr>
        <w:spacing w:before="156" w:beforeLines="50" w:line="360" w:lineRule="auto"/>
        <w:ind w:firstLine="420" w:firstLineChars="200"/>
        <w:rPr>
          <w:rFonts w:hint="eastAsia" w:ascii="宋体" w:hAnsi="宋体" w:cs="宋体"/>
          <w:color w:val="auto"/>
          <w:szCs w:val="21"/>
          <w:highlight w:val="none"/>
        </w:rPr>
      </w:pPr>
    </w:p>
    <w:p w14:paraId="4DEEA495">
      <w:pPr>
        <w:ind w:left="0" w:leftChars="0" w:firstLine="0" w:firstLineChars="0"/>
        <w:rPr>
          <w:rFonts w:ascii="宋体" w:hAnsi="宋体"/>
          <w:color w:val="auto"/>
          <w:szCs w:val="21"/>
          <w:highlight w:val="none"/>
          <w:u w:val="single"/>
        </w:rPr>
      </w:pPr>
      <w:r>
        <w:rPr>
          <w:rFonts w:hint="eastAsia" w:ascii="宋体" w:hAnsi="宋体"/>
          <w:b/>
          <w:bCs/>
          <w:color w:val="auto"/>
          <w:kern w:val="0"/>
          <w:szCs w:val="21"/>
          <w:highlight w:val="none"/>
        </w:rPr>
        <w:t xml:space="preserve">合同编号： </w:t>
      </w:r>
      <w:r>
        <w:rPr>
          <w:rFonts w:hint="eastAsia" w:ascii="宋体" w:hAnsi="宋体"/>
          <w:b/>
          <w:bCs/>
          <w:color w:val="auto"/>
          <w:kern w:val="0"/>
          <w:szCs w:val="21"/>
          <w:highlight w:val="none"/>
          <w:u w:val="single"/>
        </w:rPr>
        <w:t xml:space="preserve"> 　　　</w:t>
      </w:r>
    </w:p>
    <w:p w14:paraId="6ADEA277">
      <w:pPr>
        <w:ind w:firstLine="643" w:firstLineChars="200"/>
        <w:jc w:val="center"/>
        <w:rPr>
          <w:rFonts w:ascii="宋体" w:hAnsi="宋体"/>
          <w:b/>
          <w:bCs/>
          <w:color w:val="auto"/>
          <w:kern w:val="0"/>
          <w:sz w:val="32"/>
          <w:szCs w:val="32"/>
          <w:highlight w:val="none"/>
        </w:rPr>
      </w:pPr>
    </w:p>
    <w:p w14:paraId="60558990">
      <w:pPr>
        <w:pageBreakBefore w:val="0"/>
        <w:wordWrap/>
        <w:overflowPunct/>
        <w:topLinePunct w:val="0"/>
        <w:bidi w:val="0"/>
        <w:spacing w:line="360" w:lineRule="auto"/>
        <w:ind w:left="0" w:leftChars="0"/>
        <w:jc w:val="center"/>
        <w:outlineLvl w:val="0"/>
        <w:rPr>
          <w:rFonts w:ascii="宋体" w:hAnsi="宋体"/>
          <w:b/>
          <w:bCs/>
          <w:color w:val="auto"/>
          <w:kern w:val="0"/>
          <w:sz w:val="32"/>
          <w:szCs w:val="32"/>
          <w:highlight w:val="none"/>
        </w:rPr>
      </w:pPr>
      <w:r>
        <w:rPr>
          <w:rFonts w:hint="eastAsia" w:ascii="宋体" w:hAnsi="宋体"/>
          <w:b/>
          <w:bCs/>
          <w:color w:val="auto"/>
          <w:kern w:val="0"/>
          <w:sz w:val="32"/>
          <w:szCs w:val="32"/>
          <w:highlight w:val="none"/>
        </w:rPr>
        <w:t>第</w:t>
      </w:r>
      <w:r>
        <w:rPr>
          <w:rFonts w:hint="eastAsia" w:ascii="宋体" w:hAnsi="宋体"/>
          <w:b/>
          <w:bCs/>
          <w:color w:val="auto"/>
          <w:kern w:val="0"/>
          <w:sz w:val="32"/>
          <w:szCs w:val="32"/>
          <w:highlight w:val="none"/>
          <w:lang w:val="en-US" w:eastAsia="zh-CN"/>
        </w:rPr>
        <w:t>五</w:t>
      </w:r>
      <w:r>
        <w:rPr>
          <w:rFonts w:hint="eastAsia" w:ascii="宋体" w:hAnsi="宋体"/>
          <w:b/>
          <w:bCs/>
          <w:color w:val="auto"/>
          <w:kern w:val="0"/>
          <w:sz w:val="32"/>
          <w:szCs w:val="32"/>
          <w:highlight w:val="none"/>
        </w:rPr>
        <w:t xml:space="preserve">章 </w:t>
      </w:r>
      <w:r>
        <w:rPr>
          <w:rFonts w:ascii="宋体" w:hAnsi="宋体"/>
          <w:b/>
          <w:bCs/>
          <w:color w:val="auto"/>
          <w:kern w:val="0"/>
          <w:sz w:val="32"/>
          <w:szCs w:val="32"/>
          <w:highlight w:val="none"/>
        </w:rPr>
        <w:t>采购合同</w:t>
      </w:r>
      <w:r>
        <w:rPr>
          <w:rFonts w:hint="eastAsia"/>
          <w:highlight w:val="none"/>
          <w:lang w:eastAsia="zh-CN"/>
        </w:rPr>
        <w:t>（</w:t>
      </w:r>
      <w:r>
        <w:rPr>
          <w:rFonts w:hint="eastAsia"/>
          <w:highlight w:val="none"/>
          <w:lang w:val="en-US" w:eastAsia="zh-CN"/>
        </w:rPr>
        <w:t>仅供参考，具体以采购人确定的合同为准</w:t>
      </w:r>
      <w:r>
        <w:rPr>
          <w:rFonts w:hint="eastAsia"/>
          <w:highlight w:val="none"/>
          <w:lang w:eastAsia="zh-CN"/>
        </w:rPr>
        <w:t>）</w:t>
      </w:r>
    </w:p>
    <w:p w14:paraId="3973E7AC">
      <w:pPr>
        <w:pageBreakBefore w:val="0"/>
        <w:tabs>
          <w:tab w:val="left" w:pos="720"/>
        </w:tabs>
        <w:wordWrap/>
        <w:overflowPunct/>
        <w:topLinePunct w:val="0"/>
        <w:bidi w:val="0"/>
        <w:spacing w:line="360" w:lineRule="auto"/>
        <w:ind w:left="0" w:leftChars="0"/>
        <w:jc w:val="left"/>
        <w:rPr>
          <w:rFonts w:hint="default" w:ascii="宋体" w:hAnsi="宋体" w:eastAsia="宋体"/>
          <w:bCs/>
          <w:color w:val="auto"/>
          <w:szCs w:val="21"/>
          <w:highlight w:val="none"/>
          <w:lang w:val="en-US" w:eastAsia="zh-CN"/>
        </w:rPr>
      </w:pPr>
      <w:r>
        <w:rPr>
          <w:rFonts w:hint="eastAsia" w:ascii="宋体" w:hAnsi="宋体"/>
          <w:b/>
          <w:color w:val="auto"/>
          <w:szCs w:val="21"/>
          <w:highlight w:val="none"/>
        </w:rPr>
        <w:t>甲方</w:t>
      </w:r>
      <w:r>
        <w:rPr>
          <w:rFonts w:hint="eastAsia" w:ascii="宋体" w:hAnsi="宋体" w:cs="宋体"/>
          <w:color w:val="auto"/>
          <w:szCs w:val="21"/>
          <w:highlight w:val="none"/>
        </w:rPr>
        <w:t>（甲方）</w:t>
      </w:r>
      <w:r>
        <w:rPr>
          <w:rFonts w:hint="eastAsia" w:ascii="宋体" w:hAnsi="宋体"/>
          <w:b/>
          <w:color w:val="auto"/>
          <w:szCs w:val="21"/>
          <w:highlight w:val="none"/>
        </w:rPr>
        <w:t>：</w:t>
      </w:r>
      <w:r>
        <w:rPr>
          <w:rFonts w:hint="eastAsia" w:ascii="宋体" w:hAnsi="宋体"/>
          <w:b/>
          <w:color w:val="auto"/>
          <w:szCs w:val="21"/>
          <w:highlight w:val="none"/>
          <w:lang w:val="en-US" w:eastAsia="zh-CN"/>
        </w:rPr>
        <w:t>广东省未成年犯管教所</w:t>
      </w:r>
    </w:p>
    <w:p w14:paraId="576C4545">
      <w:pPr>
        <w:pageBreakBefore w:val="0"/>
        <w:wordWrap/>
        <w:overflowPunct/>
        <w:topLinePunct w:val="0"/>
        <w:bidi w:val="0"/>
        <w:spacing w:line="360" w:lineRule="auto"/>
        <w:ind w:left="0" w:leftChars="0"/>
        <w:jc w:val="left"/>
        <w:rPr>
          <w:rFonts w:ascii="宋体" w:hAnsi="宋体"/>
          <w:color w:val="auto"/>
          <w:szCs w:val="21"/>
          <w:highlight w:val="none"/>
        </w:rPr>
      </w:pPr>
      <w:r>
        <w:rPr>
          <w:rFonts w:hint="eastAsia" w:ascii="宋体" w:hAnsi="宋体"/>
          <w:color w:val="auto"/>
          <w:szCs w:val="21"/>
          <w:highlight w:val="none"/>
        </w:rPr>
        <w:t>负责人：</w:t>
      </w:r>
    </w:p>
    <w:p w14:paraId="288734D6">
      <w:pPr>
        <w:pageBreakBefore w:val="0"/>
        <w:wordWrap/>
        <w:overflowPunct/>
        <w:topLinePunct w:val="0"/>
        <w:bidi w:val="0"/>
        <w:spacing w:line="360" w:lineRule="auto"/>
        <w:ind w:left="0" w:leftChars="0"/>
        <w:jc w:val="left"/>
        <w:rPr>
          <w:rFonts w:ascii="宋体" w:hAnsi="宋体"/>
          <w:color w:val="auto"/>
          <w:szCs w:val="21"/>
          <w:highlight w:val="none"/>
        </w:rPr>
      </w:pPr>
      <w:r>
        <w:rPr>
          <w:rFonts w:hint="eastAsia" w:ascii="宋体" w:hAnsi="宋体"/>
          <w:color w:val="auto"/>
          <w:szCs w:val="21"/>
          <w:highlight w:val="none"/>
        </w:rPr>
        <w:t>地址：</w:t>
      </w:r>
    </w:p>
    <w:p w14:paraId="2013E02D">
      <w:pPr>
        <w:pageBreakBefore w:val="0"/>
        <w:wordWrap/>
        <w:overflowPunct/>
        <w:topLinePunct w:val="0"/>
        <w:bidi w:val="0"/>
        <w:spacing w:line="360" w:lineRule="auto"/>
        <w:ind w:left="0" w:leftChars="0"/>
        <w:jc w:val="left"/>
        <w:rPr>
          <w:rFonts w:ascii="宋体" w:hAnsi="宋体"/>
          <w:color w:val="auto"/>
          <w:szCs w:val="21"/>
          <w:highlight w:val="none"/>
        </w:rPr>
      </w:pPr>
      <w:r>
        <w:rPr>
          <w:rFonts w:hint="eastAsia" w:ascii="宋体" w:hAnsi="宋体"/>
          <w:color w:val="auto"/>
          <w:szCs w:val="21"/>
          <w:highlight w:val="none"/>
        </w:rPr>
        <w:t xml:space="preserve">电话：                传真：           </w:t>
      </w:r>
    </w:p>
    <w:p w14:paraId="1FDC8005">
      <w:pPr>
        <w:pageBreakBefore w:val="0"/>
        <w:wordWrap/>
        <w:overflowPunct/>
        <w:topLinePunct w:val="0"/>
        <w:bidi w:val="0"/>
        <w:spacing w:line="360" w:lineRule="auto"/>
        <w:ind w:left="0" w:leftChars="0" w:firstLine="420" w:firstLineChars="200"/>
        <w:rPr>
          <w:rFonts w:ascii="宋体" w:hAnsi="宋体"/>
          <w:color w:val="auto"/>
          <w:szCs w:val="21"/>
          <w:highlight w:val="none"/>
        </w:rPr>
      </w:pPr>
    </w:p>
    <w:p w14:paraId="57177A12">
      <w:pPr>
        <w:pageBreakBefore w:val="0"/>
        <w:wordWrap/>
        <w:overflowPunct/>
        <w:topLinePunct w:val="0"/>
        <w:bidi w:val="0"/>
        <w:spacing w:line="360" w:lineRule="auto"/>
        <w:ind w:left="0" w:leftChars="0"/>
        <w:rPr>
          <w:rFonts w:ascii="宋体" w:hAnsi="宋体"/>
          <w:b/>
          <w:color w:val="auto"/>
          <w:szCs w:val="21"/>
          <w:highlight w:val="none"/>
        </w:rPr>
      </w:pPr>
      <w:r>
        <w:rPr>
          <w:rFonts w:hint="eastAsia" w:ascii="宋体" w:hAnsi="宋体"/>
          <w:b/>
          <w:color w:val="auto"/>
          <w:szCs w:val="21"/>
          <w:highlight w:val="none"/>
        </w:rPr>
        <w:t>乙方</w:t>
      </w:r>
      <w:r>
        <w:rPr>
          <w:rFonts w:hint="eastAsia" w:ascii="宋体" w:hAnsi="宋体" w:cs="宋体"/>
          <w:color w:val="auto"/>
          <w:szCs w:val="21"/>
          <w:highlight w:val="none"/>
        </w:rPr>
        <w:t>（乙方）</w:t>
      </w:r>
      <w:r>
        <w:rPr>
          <w:rFonts w:hint="eastAsia" w:ascii="宋体" w:hAnsi="宋体"/>
          <w:b/>
          <w:color w:val="auto"/>
          <w:szCs w:val="21"/>
          <w:highlight w:val="none"/>
        </w:rPr>
        <w:t>：</w:t>
      </w:r>
    </w:p>
    <w:p w14:paraId="01BD2182">
      <w:pPr>
        <w:pageBreakBefore w:val="0"/>
        <w:wordWrap/>
        <w:overflowPunct/>
        <w:topLinePunct w:val="0"/>
        <w:bidi w:val="0"/>
        <w:spacing w:line="360" w:lineRule="auto"/>
        <w:ind w:left="0" w:leftChars="0"/>
        <w:rPr>
          <w:rFonts w:ascii="宋体" w:hAnsi="宋体"/>
          <w:b/>
          <w:color w:val="auto"/>
          <w:szCs w:val="21"/>
          <w:highlight w:val="none"/>
          <w:u w:val="single"/>
        </w:rPr>
      </w:pPr>
      <w:r>
        <w:rPr>
          <w:rFonts w:hint="eastAsia" w:ascii="宋体" w:hAnsi="宋体"/>
          <w:b/>
          <w:color w:val="auto"/>
          <w:szCs w:val="21"/>
          <w:highlight w:val="none"/>
          <w:u w:val="single"/>
        </w:rPr>
        <w:t>法定代表人：</w:t>
      </w:r>
    </w:p>
    <w:p w14:paraId="2DA8FED9">
      <w:pPr>
        <w:pageBreakBefore w:val="0"/>
        <w:wordWrap/>
        <w:overflowPunct/>
        <w:topLinePunct w:val="0"/>
        <w:bidi w:val="0"/>
        <w:spacing w:line="360" w:lineRule="auto"/>
        <w:ind w:left="0" w:leftChars="0" w:firstLine="0"/>
        <w:rPr>
          <w:rFonts w:hint="eastAsia" w:ascii="宋体" w:hAnsi="宋体" w:eastAsia="宋体"/>
          <w:b/>
          <w:color w:val="auto"/>
          <w:szCs w:val="21"/>
          <w:highlight w:val="none"/>
          <w:u w:val="single"/>
          <w:lang w:eastAsia="zh-CN"/>
        </w:rPr>
      </w:pPr>
      <w:r>
        <w:rPr>
          <w:rFonts w:hint="eastAsia" w:ascii="宋体" w:hAnsi="宋体"/>
          <w:b/>
          <w:color w:val="auto"/>
          <w:szCs w:val="21"/>
          <w:highlight w:val="none"/>
          <w:u w:val="single"/>
        </w:rPr>
        <w:t>地址：</w:t>
      </w:r>
    </w:p>
    <w:p w14:paraId="5E639762">
      <w:pPr>
        <w:pageBreakBefore w:val="0"/>
        <w:wordWrap/>
        <w:overflowPunct/>
        <w:topLinePunct w:val="0"/>
        <w:bidi w:val="0"/>
        <w:spacing w:line="360" w:lineRule="auto"/>
        <w:ind w:left="0" w:leftChars="0" w:firstLine="0"/>
        <w:rPr>
          <w:rFonts w:ascii="宋体" w:hAnsi="宋体"/>
          <w:color w:val="auto"/>
          <w:szCs w:val="21"/>
          <w:highlight w:val="none"/>
        </w:rPr>
      </w:pPr>
      <w:r>
        <w:rPr>
          <w:rFonts w:hint="eastAsia" w:ascii="宋体" w:hAnsi="宋体"/>
          <w:color w:val="auto"/>
          <w:szCs w:val="21"/>
          <w:highlight w:val="none"/>
        </w:rPr>
        <w:t xml:space="preserve">电话：                传真：            </w:t>
      </w:r>
    </w:p>
    <w:p w14:paraId="7896C70F">
      <w:pPr>
        <w:pageBreakBefore w:val="0"/>
        <w:wordWrap/>
        <w:overflowPunct/>
        <w:topLinePunct w:val="0"/>
        <w:bidi w:val="0"/>
        <w:spacing w:line="360" w:lineRule="auto"/>
        <w:ind w:left="0" w:leftChars="0" w:firstLine="420" w:firstLineChars="200"/>
        <w:rPr>
          <w:rFonts w:ascii="宋体" w:hAnsi="宋体" w:cs="宋体"/>
          <w:color w:val="auto"/>
          <w:szCs w:val="21"/>
          <w:highlight w:val="none"/>
        </w:rPr>
      </w:pPr>
    </w:p>
    <w:p w14:paraId="2BD10FEA">
      <w:pPr>
        <w:pageBreakBefore w:val="0"/>
        <w:wordWrap/>
        <w:overflowPunct/>
        <w:topLinePunct w:val="0"/>
        <w:bidi w:val="0"/>
        <w:spacing w:line="360" w:lineRule="auto"/>
        <w:ind w:left="0" w:leftChars="0" w:firstLine="420" w:firstLineChars="20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宋体"/>
          <w:b/>
          <w:color w:val="auto"/>
          <w:szCs w:val="21"/>
          <w:highlight w:val="none"/>
          <w:u w:val="single"/>
          <w:lang w:eastAsia="zh-CN"/>
        </w:rPr>
        <w:t>广东省未成年犯管教所南、北门防冲撞液压式自动升降柱采购项目</w:t>
      </w:r>
      <w:r>
        <w:rPr>
          <w:rFonts w:hint="eastAsia" w:ascii="宋体" w:hAnsi="宋体" w:cs="宋体"/>
          <w:color w:val="auto"/>
          <w:szCs w:val="21"/>
          <w:highlight w:val="none"/>
        </w:rPr>
        <w:t>（</w:t>
      </w: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s="宋体"/>
          <w:color w:val="auto"/>
          <w:szCs w:val="21"/>
          <w:highlight w:val="none"/>
        </w:rPr>
        <w:t>的</w:t>
      </w:r>
      <w:r>
        <w:rPr>
          <w:rFonts w:hint="eastAsia" w:ascii="宋体" w:hAnsi="宋体"/>
          <w:color w:val="auto"/>
          <w:szCs w:val="21"/>
          <w:highlight w:val="none"/>
        </w:rPr>
        <w:t>采购结果，</w:t>
      </w:r>
      <w:r>
        <w:rPr>
          <w:rFonts w:hint="eastAsia" w:ascii="宋体" w:hAnsi="宋体"/>
          <w:b/>
          <w:bCs w:val="0"/>
          <w:color w:val="auto"/>
          <w:szCs w:val="21"/>
          <w:highlight w:val="none"/>
          <w:u w:val="single"/>
        </w:rPr>
        <w:t>本项目</w:t>
      </w:r>
      <w:r>
        <w:rPr>
          <w:rFonts w:hint="eastAsia" w:ascii="宋体" w:hAnsi="宋体"/>
          <w:b/>
          <w:bCs w:val="0"/>
          <w:color w:val="auto"/>
          <w:szCs w:val="21"/>
          <w:highlight w:val="none"/>
          <w:u w:val="single"/>
          <w:lang w:val="en-US" w:eastAsia="zh-CN"/>
        </w:rPr>
        <w:t xml:space="preserve">周期内容为          </w:t>
      </w:r>
      <w:r>
        <w:rPr>
          <w:rFonts w:hint="eastAsia" w:ascii="宋体" w:hAnsi="宋体" w:eastAsia="宋体" w:cs="宋体"/>
          <w:color w:val="auto"/>
          <w:highlight w:val="none"/>
        </w:rPr>
        <w:t>。</w:t>
      </w:r>
      <w:r>
        <w:rPr>
          <w:rFonts w:hint="eastAsia" w:ascii="宋体" w:hAnsi="宋体"/>
          <w:color w:val="auto"/>
          <w:szCs w:val="21"/>
          <w:highlight w:val="none"/>
        </w:rPr>
        <w:t>按照《中华人民共和国民法典》的规定，</w:t>
      </w:r>
      <w:r>
        <w:rPr>
          <w:rFonts w:hint="eastAsia" w:ascii="宋体" w:hAnsi="宋体"/>
          <w:color w:val="auto"/>
          <w:kern w:val="28"/>
          <w:szCs w:val="21"/>
          <w:highlight w:val="none"/>
        </w:rPr>
        <w:t>经双方协商，</w:t>
      </w:r>
      <w:r>
        <w:rPr>
          <w:rFonts w:hint="eastAsia" w:ascii="宋体" w:hAnsi="宋体"/>
          <w:color w:val="auto"/>
          <w:szCs w:val="21"/>
          <w:highlight w:val="none"/>
        </w:rPr>
        <w:t>本着平等互利和诚实信用的原则，</w:t>
      </w:r>
      <w:r>
        <w:rPr>
          <w:rFonts w:hint="eastAsia" w:ascii="宋体" w:hAnsi="宋体"/>
          <w:color w:val="auto"/>
          <w:kern w:val="28"/>
          <w:szCs w:val="21"/>
          <w:highlight w:val="none"/>
        </w:rPr>
        <w:t>一致同意签订本合同如下</w:t>
      </w:r>
      <w:r>
        <w:rPr>
          <w:rFonts w:hint="eastAsia" w:ascii="宋体" w:hAnsi="宋体"/>
          <w:color w:val="auto"/>
          <w:szCs w:val="21"/>
          <w:highlight w:val="none"/>
        </w:rPr>
        <w:t>：</w:t>
      </w:r>
    </w:p>
    <w:p w14:paraId="61FB4478">
      <w:pPr>
        <w:pageBreakBefore w:val="0"/>
        <w:tabs>
          <w:tab w:val="left" w:pos="420"/>
          <w:tab w:val="left" w:pos="540"/>
        </w:tabs>
        <w:wordWrap/>
        <w:overflowPunct/>
        <w:topLinePunct w:val="0"/>
        <w:bidi w:val="0"/>
        <w:spacing w:line="360" w:lineRule="auto"/>
        <w:ind w:left="0" w:leftChars="0" w:hanging="420"/>
        <w:rPr>
          <w:rFonts w:ascii="宋体" w:hAnsi="宋体" w:cs="宋体"/>
          <w:b/>
          <w:bCs/>
          <w:color w:val="auto"/>
          <w:szCs w:val="21"/>
          <w:highlight w:val="none"/>
        </w:rPr>
      </w:pPr>
      <w:r>
        <w:rPr>
          <w:rFonts w:hint="eastAsia" w:ascii="宋体" w:hAnsi="宋体" w:cs="宋体"/>
          <w:b/>
          <w:bCs/>
          <w:color w:val="auto"/>
          <w:szCs w:val="21"/>
          <w:highlight w:val="none"/>
          <w:lang w:val="zh-CN"/>
        </w:rPr>
        <w:t>一、</w:t>
      </w:r>
      <w:r>
        <w:rPr>
          <w:rFonts w:ascii="宋体" w:hAnsi="宋体" w:cs="宋体"/>
          <w:b/>
          <w:bCs/>
          <w:color w:val="auto"/>
          <w:szCs w:val="21"/>
          <w:highlight w:val="none"/>
          <w:lang w:val="zh-CN"/>
        </w:rPr>
        <w:tab/>
      </w:r>
      <w:r>
        <w:rPr>
          <w:rFonts w:hint="eastAsia" w:ascii="宋体" w:hAnsi="宋体" w:cs="宋体"/>
          <w:b/>
          <w:bCs/>
          <w:color w:val="auto"/>
          <w:szCs w:val="21"/>
          <w:highlight w:val="none"/>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857"/>
        <w:gridCol w:w="2722"/>
        <w:gridCol w:w="2202"/>
      </w:tblGrid>
      <w:tr w14:paraId="5DC1C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64" w:type="pct"/>
            <w:shd w:val="clear" w:color="auto" w:fill="auto"/>
            <w:vAlign w:val="center"/>
          </w:tcPr>
          <w:p w14:paraId="75A6C407">
            <w:pPr>
              <w:pageBreakBefore w:val="0"/>
              <w:wordWrap/>
              <w:overflowPunct/>
              <w:topLinePunct w:val="0"/>
              <w:bidi w:val="0"/>
              <w:adjustRightInd w:val="0"/>
              <w:snapToGrid w:val="0"/>
              <w:spacing w:line="360" w:lineRule="auto"/>
              <w:ind w:left="0" w:leftChars="0" w:right="0" w:rightChars="0" w:firstLine="0"/>
              <w:jc w:val="center"/>
              <w:rPr>
                <w:rFonts w:ascii="宋体" w:hAnsi="宋体"/>
                <w:b/>
                <w:color w:val="auto"/>
                <w:szCs w:val="21"/>
                <w:highlight w:val="none"/>
              </w:rPr>
            </w:pPr>
            <w:r>
              <w:rPr>
                <w:rFonts w:hint="eastAsia" w:ascii="宋体" w:hAnsi="宋体"/>
                <w:b/>
                <w:color w:val="auto"/>
                <w:szCs w:val="21"/>
                <w:highlight w:val="none"/>
              </w:rPr>
              <w:t>项目名称</w:t>
            </w:r>
          </w:p>
        </w:tc>
        <w:tc>
          <w:tcPr>
            <w:tcW w:w="435" w:type="pct"/>
            <w:shd w:val="clear" w:color="auto" w:fill="auto"/>
            <w:vAlign w:val="center"/>
          </w:tcPr>
          <w:p w14:paraId="6EC8B9DA">
            <w:pPr>
              <w:pageBreakBefore w:val="0"/>
              <w:wordWrap/>
              <w:overflowPunct/>
              <w:topLinePunct w:val="0"/>
              <w:bidi w:val="0"/>
              <w:adjustRightInd w:val="0"/>
              <w:snapToGrid w:val="0"/>
              <w:spacing w:line="360" w:lineRule="auto"/>
              <w:ind w:left="0" w:leftChars="0" w:right="0" w:rightChars="0" w:firstLine="0"/>
              <w:jc w:val="center"/>
              <w:rPr>
                <w:rFonts w:ascii="宋体" w:hAnsi="宋体"/>
                <w:b/>
                <w:color w:val="auto"/>
                <w:szCs w:val="21"/>
                <w:highlight w:val="none"/>
              </w:rPr>
            </w:pPr>
            <w:r>
              <w:rPr>
                <w:rFonts w:hint="eastAsia" w:ascii="宋体" w:hAnsi="宋体"/>
                <w:b/>
                <w:color w:val="auto"/>
                <w:szCs w:val="21"/>
                <w:highlight w:val="none"/>
              </w:rPr>
              <w:t>数量</w:t>
            </w:r>
          </w:p>
        </w:tc>
        <w:tc>
          <w:tcPr>
            <w:tcW w:w="1381" w:type="pct"/>
            <w:shd w:val="clear" w:color="auto" w:fill="auto"/>
            <w:vAlign w:val="center"/>
          </w:tcPr>
          <w:p w14:paraId="259CDE72">
            <w:pPr>
              <w:pageBreakBefore w:val="0"/>
              <w:wordWrap/>
              <w:overflowPunct/>
              <w:topLinePunct w:val="0"/>
              <w:bidi w:val="0"/>
              <w:spacing w:line="360" w:lineRule="auto"/>
              <w:ind w:left="0" w:leftChars="0" w:firstLine="0"/>
              <w:jc w:val="center"/>
              <w:rPr>
                <w:rFonts w:ascii="宋体" w:hAnsi="宋体"/>
                <w:b/>
                <w:bCs/>
                <w:color w:val="auto"/>
                <w:szCs w:val="21"/>
                <w:highlight w:val="none"/>
              </w:rPr>
            </w:pPr>
            <w:r>
              <w:rPr>
                <w:rFonts w:hint="eastAsia" w:ascii="宋体" w:hAnsi="宋体"/>
                <w:b/>
                <w:bCs/>
                <w:color w:val="auto"/>
                <w:szCs w:val="21"/>
                <w:highlight w:val="none"/>
                <w:lang w:val="en-US" w:eastAsia="zh-CN"/>
              </w:rPr>
              <w:t>周期内容</w:t>
            </w:r>
          </w:p>
        </w:tc>
        <w:tc>
          <w:tcPr>
            <w:tcW w:w="1117" w:type="pct"/>
            <w:shd w:val="clear" w:color="auto" w:fill="auto"/>
          </w:tcPr>
          <w:p w14:paraId="39D3D88E">
            <w:pPr>
              <w:pageBreakBefore w:val="0"/>
              <w:wordWrap/>
              <w:overflowPunct/>
              <w:topLinePunct w:val="0"/>
              <w:bidi w:val="0"/>
              <w:adjustRightInd w:val="0"/>
              <w:snapToGrid w:val="0"/>
              <w:spacing w:line="360" w:lineRule="auto"/>
              <w:ind w:left="0" w:leftChars="0" w:right="0" w:rightChars="0" w:firstLine="0"/>
              <w:jc w:val="center"/>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成交折报价</w:t>
            </w:r>
          </w:p>
          <w:p w14:paraId="26B04CAB">
            <w:pPr>
              <w:pageBreakBefore w:val="0"/>
              <w:wordWrap/>
              <w:overflowPunct/>
              <w:topLinePunct w:val="0"/>
              <w:bidi w:val="0"/>
              <w:adjustRightInd w:val="0"/>
              <w:snapToGrid w:val="0"/>
              <w:spacing w:line="360" w:lineRule="auto"/>
              <w:ind w:left="0" w:leftChars="0" w:right="0" w:rightChars="0" w:firstLine="0"/>
              <w:jc w:val="center"/>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元/人/天</w:t>
            </w:r>
            <w:r>
              <w:rPr>
                <w:rFonts w:hint="eastAsia" w:ascii="宋体" w:hAnsi="宋体"/>
                <w:b/>
                <w:color w:val="auto"/>
                <w:szCs w:val="21"/>
                <w:highlight w:val="none"/>
              </w:rPr>
              <w:t>）</w:t>
            </w:r>
          </w:p>
        </w:tc>
      </w:tr>
      <w:tr w14:paraId="3AA22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64" w:type="pct"/>
            <w:shd w:val="clear" w:color="auto" w:fill="auto"/>
            <w:vAlign w:val="center"/>
          </w:tcPr>
          <w:p w14:paraId="3950A9EC">
            <w:pPr>
              <w:pageBreakBefore w:val="0"/>
              <w:wordWrap/>
              <w:overflowPunct/>
              <w:topLinePunct w:val="0"/>
              <w:bidi w:val="0"/>
              <w:spacing w:line="360" w:lineRule="auto"/>
              <w:ind w:left="0" w:leftChars="0" w:firstLine="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广东省未成年犯管教所南、北门防冲撞液压式自动升降柱采购项目</w:t>
            </w:r>
          </w:p>
        </w:tc>
        <w:tc>
          <w:tcPr>
            <w:tcW w:w="435" w:type="pct"/>
            <w:shd w:val="clear" w:color="auto" w:fill="auto"/>
            <w:vAlign w:val="center"/>
          </w:tcPr>
          <w:p w14:paraId="793D1B4C">
            <w:pPr>
              <w:pageBreakBefore w:val="0"/>
              <w:wordWrap/>
              <w:overflowPunct/>
              <w:topLinePunct w:val="0"/>
              <w:bidi w:val="0"/>
              <w:spacing w:line="360" w:lineRule="auto"/>
              <w:ind w:left="0" w:leftChars="0" w:firstLine="0"/>
              <w:jc w:val="center"/>
              <w:rPr>
                <w:rFonts w:hint="eastAsia" w:ascii="宋体" w:hAnsi="宋体" w:eastAsia="宋体"/>
                <w:bCs/>
                <w:color w:val="auto"/>
                <w:szCs w:val="21"/>
                <w:highlight w:val="none"/>
                <w:lang w:eastAsia="zh-CN"/>
              </w:rPr>
            </w:pPr>
            <w:r>
              <w:rPr>
                <w:rFonts w:ascii="宋体" w:hAnsi="宋体"/>
                <w:bCs/>
                <w:color w:val="auto"/>
                <w:szCs w:val="21"/>
                <w:highlight w:val="none"/>
              </w:rPr>
              <w:t>1</w:t>
            </w:r>
            <w:r>
              <w:rPr>
                <w:rFonts w:hint="eastAsia" w:ascii="宋体" w:hAnsi="宋体"/>
                <w:bCs/>
                <w:color w:val="auto"/>
                <w:szCs w:val="21"/>
                <w:highlight w:val="none"/>
                <w:lang w:val="en-US" w:eastAsia="zh-CN"/>
              </w:rPr>
              <w:t>项</w:t>
            </w:r>
          </w:p>
        </w:tc>
        <w:tc>
          <w:tcPr>
            <w:tcW w:w="1381" w:type="pct"/>
            <w:shd w:val="clear" w:color="auto" w:fill="auto"/>
            <w:vAlign w:val="center"/>
          </w:tcPr>
          <w:p w14:paraId="5E37DC44">
            <w:pPr>
              <w:pageBreakBefore w:val="0"/>
              <w:wordWrap/>
              <w:overflowPunct/>
              <w:topLinePunct w:val="0"/>
              <w:bidi w:val="0"/>
              <w:spacing w:line="360" w:lineRule="auto"/>
              <w:ind w:left="0" w:leftChars="0" w:firstLine="0"/>
              <w:jc w:val="center"/>
              <w:rPr>
                <w:rFonts w:ascii="宋体" w:hAnsi="宋体"/>
                <w:bCs/>
                <w:color w:val="auto"/>
                <w:szCs w:val="21"/>
                <w:highlight w:val="none"/>
              </w:rPr>
            </w:pPr>
          </w:p>
        </w:tc>
        <w:tc>
          <w:tcPr>
            <w:tcW w:w="1117" w:type="pct"/>
            <w:shd w:val="clear" w:color="auto" w:fill="auto"/>
            <w:vAlign w:val="center"/>
          </w:tcPr>
          <w:p w14:paraId="22A22D9E">
            <w:pPr>
              <w:pStyle w:val="7"/>
              <w:pageBreakBefore w:val="0"/>
              <w:wordWrap/>
              <w:overflowPunct/>
              <w:topLinePunct w:val="0"/>
              <w:bidi w:val="0"/>
              <w:spacing w:line="360" w:lineRule="auto"/>
              <w:ind w:left="0" w:leftChars="0" w:firstLine="0" w:firstLineChars="0"/>
              <w:jc w:val="center"/>
              <w:rPr>
                <w:rFonts w:ascii="宋体" w:hAnsi="宋体"/>
                <w:bCs/>
                <w:color w:val="auto"/>
                <w:highlight w:val="none"/>
              </w:rPr>
            </w:pPr>
          </w:p>
        </w:tc>
      </w:tr>
    </w:tbl>
    <w:p w14:paraId="06DE0F2B">
      <w:pPr>
        <w:pageBreakBefore w:val="0"/>
        <w:numPr>
          <w:ilvl w:val="0"/>
          <w:numId w:val="0"/>
        </w:numPr>
        <w:tabs>
          <w:tab w:val="left" w:pos="420"/>
          <w:tab w:val="left" w:pos="540"/>
        </w:tabs>
        <w:wordWrap/>
        <w:overflowPunct/>
        <w:topLinePunct w:val="0"/>
        <w:bidi w:val="0"/>
        <w:spacing w:line="360" w:lineRule="auto"/>
        <w:ind w:left="0" w:leftChars="0" w:hanging="420" w:firstLineChars="0"/>
        <w:rPr>
          <w:rFonts w:hint="eastAsia" w:ascii="宋体" w:hAnsi="宋体" w:eastAsia="宋体" w:cs="宋体"/>
          <w:b/>
          <w:bCs/>
          <w:color w:val="auto"/>
          <w:kern w:val="0"/>
          <w:sz w:val="21"/>
          <w:szCs w:val="21"/>
          <w:highlight w:val="none"/>
          <w:lang w:val="en-US" w:eastAsia="zh-CN" w:bidi="ar-SA"/>
        </w:rPr>
      </w:pPr>
    </w:p>
    <w:p w14:paraId="4D34ABF0">
      <w:pPr>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2" w:firstLineChars="200"/>
        <w:jc w:val="lef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二、技术要求</w:t>
      </w:r>
    </w:p>
    <w:p w14:paraId="06E522E6">
      <w:pPr>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（一）产品规格参数或技术要求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0"/>
        <w:gridCol w:w="4964"/>
        <w:gridCol w:w="638"/>
        <w:gridCol w:w="638"/>
        <w:gridCol w:w="2250"/>
      </w:tblGrid>
      <w:tr w14:paraId="2258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blHeader/>
          <w:jc w:val="center"/>
        </w:trPr>
        <w:tc>
          <w:tcPr>
            <w:tcW w:w="712" w:type="pct"/>
            <w:shd w:val="clear" w:color="auto" w:fill="auto"/>
            <w:noWrap w:val="0"/>
            <w:vAlign w:val="center"/>
          </w:tcPr>
          <w:p w14:paraId="3AB24F9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firstLine="0" w:firstLineChars="0"/>
              <w:jc w:val="center"/>
              <w:textAlignment w:val="center"/>
              <w:rPr>
                <w:rFonts w:hint="eastAsia" w:ascii="宋体" w:hAnsi="宋体" w:eastAsia="宋体" w:cs="宋体"/>
                <w:b/>
                <w:bCs/>
                <w:i w:val="0"/>
                <w:iCs w:val="0"/>
                <w:color w:val="auto"/>
                <w:kern w:val="0"/>
                <w:sz w:val="21"/>
                <w:szCs w:val="21"/>
              </w:rPr>
            </w:pPr>
            <w:r>
              <w:rPr>
                <w:rFonts w:hint="eastAsia" w:ascii="宋体" w:hAnsi="宋体" w:eastAsia="宋体" w:cs="宋体"/>
                <w:b/>
                <w:bCs/>
                <w:i w:val="0"/>
                <w:iCs w:val="0"/>
                <w:snapToGrid/>
                <w:color w:val="auto"/>
                <w:kern w:val="0"/>
                <w:sz w:val="21"/>
                <w:szCs w:val="21"/>
                <w:lang w:val="en-US" w:eastAsia="zh-CN" w:bidi="ar"/>
              </w:rPr>
              <w:t>设备名称</w:t>
            </w:r>
          </w:p>
        </w:tc>
        <w:tc>
          <w:tcPr>
            <w:tcW w:w="2540" w:type="pct"/>
            <w:shd w:val="clear" w:color="auto" w:fill="auto"/>
            <w:noWrap w:val="0"/>
            <w:vAlign w:val="center"/>
          </w:tcPr>
          <w:p w14:paraId="28B6883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firstLine="0" w:firstLineChars="0"/>
              <w:jc w:val="center"/>
              <w:textAlignment w:val="center"/>
              <w:rPr>
                <w:rFonts w:hint="eastAsia" w:ascii="宋体" w:hAnsi="宋体" w:eastAsia="宋体" w:cs="宋体"/>
                <w:b/>
                <w:bCs/>
                <w:i w:val="0"/>
                <w:iCs w:val="0"/>
                <w:color w:val="auto"/>
                <w:kern w:val="0"/>
                <w:sz w:val="21"/>
                <w:szCs w:val="21"/>
              </w:rPr>
            </w:pPr>
            <w:r>
              <w:rPr>
                <w:rFonts w:hint="eastAsia" w:ascii="宋体" w:hAnsi="宋体" w:eastAsia="宋体" w:cs="宋体"/>
                <w:b/>
                <w:bCs/>
                <w:i w:val="0"/>
                <w:iCs w:val="0"/>
                <w:snapToGrid/>
                <w:color w:val="auto"/>
                <w:kern w:val="0"/>
                <w:sz w:val="21"/>
                <w:szCs w:val="21"/>
                <w:lang w:val="en-US" w:eastAsia="zh-CN" w:bidi="ar"/>
              </w:rPr>
              <w:t>设备材料规格明细</w:t>
            </w:r>
          </w:p>
        </w:tc>
        <w:tc>
          <w:tcPr>
            <w:tcW w:w="282" w:type="pct"/>
            <w:shd w:val="clear" w:color="auto" w:fill="auto"/>
            <w:noWrap/>
            <w:vAlign w:val="center"/>
          </w:tcPr>
          <w:p w14:paraId="0EF6698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b/>
                <w:bCs/>
                <w:i w:val="0"/>
                <w:iCs w:val="0"/>
                <w:snapToGrid/>
                <w:color w:val="auto"/>
                <w:kern w:val="0"/>
                <w:sz w:val="21"/>
                <w:szCs w:val="21"/>
                <w:lang w:val="en-US" w:eastAsia="zh-CN" w:bidi="ar"/>
              </w:rPr>
            </w:pPr>
            <w:r>
              <w:rPr>
                <w:rFonts w:hint="eastAsia" w:ascii="宋体" w:hAnsi="宋体" w:eastAsia="宋体" w:cs="宋体"/>
                <w:b/>
                <w:bCs/>
                <w:i w:val="0"/>
                <w:iCs w:val="0"/>
                <w:snapToGrid/>
                <w:color w:val="auto"/>
                <w:kern w:val="0"/>
                <w:sz w:val="21"/>
                <w:szCs w:val="21"/>
                <w:lang w:val="en-US" w:eastAsia="zh-CN" w:bidi="ar"/>
              </w:rPr>
              <w:t>单位</w:t>
            </w:r>
          </w:p>
        </w:tc>
        <w:tc>
          <w:tcPr>
            <w:tcW w:w="300" w:type="pct"/>
            <w:shd w:val="clear" w:color="auto" w:fill="auto"/>
            <w:noWrap/>
            <w:vAlign w:val="center"/>
          </w:tcPr>
          <w:p w14:paraId="08BE0B8E">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b/>
                <w:bCs/>
                <w:i w:val="0"/>
                <w:iCs w:val="0"/>
                <w:color w:val="auto"/>
                <w:kern w:val="0"/>
                <w:sz w:val="21"/>
                <w:szCs w:val="21"/>
                <w:lang w:val="en-US" w:eastAsia="zh-CN" w:bidi="ar-SA"/>
              </w:rPr>
            </w:pPr>
            <w:r>
              <w:rPr>
                <w:rFonts w:hint="eastAsia" w:ascii="宋体" w:hAnsi="宋体" w:eastAsia="宋体" w:cs="宋体"/>
                <w:b/>
                <w:bCs/>
                <w:i w:val="0"/>
                <w:iCs w:val="0"/>
                <w:snapToGrid/>
                <w:color w:val="auto"/>
                <w:kern w:val="0"/>
                <w:sz w:val="21"/>
                <w:szCs w:val="21"/>
                <w:lang w:val="en-US" w:eastAsia="zh-CN" w:bidi="ar"/>
              </w:rPr>
              <w:t>数量</w:t>
            </w:r>
          </w:p>
        </w:tc>
        <w:tc>
          <w:tcPr>
            <w:tcW w:w="1163" w:type="pct"/>
            <w:shd w:val="clear" w:color="auto" w:fill="auto"/>
            <w:noWrap w:val="0"/>
            <w:vAlign w:val="center"/>
          </w:tcPr>
          <w:p w14:paraId="306A8B2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firstLine="0" w:firstLineChars="0"/>
              <w:jc w:val="center"/>
              <w:textAlignment w:val="center"/>
              <w:rPr>
                <w:rFonts w:hint="eastAsia" w:ascii="宋体" w:hAnsi="宋体" w:eastAsia="宋体" w:cs="宋体"/>
                <w:b/>
                <w:bCs/>
                <w:i w:val="0"/>
                <w:iCs w:val="0"/>
                <w:color w:val="auto"/>
                <w:kern w:val="0"/>
                <w:sz w:val="21"/>
                <w:szCs w:val="21"/>
              </w:rPr>
            </w:pPr>
            <w:r>
              <w:rPr>
                <w:rFonts w:hint="eastAsia" w:ascii="宋体" w:hAnsi="宋体" w:eastAsia="宋体" w:cs="宋体"/>
                <w:b/>
                <w:bCs/>
                <w:i w:val="0"/>
                <w:iCs w:val="0"/>
                <w:snapToGrid/>
                <w:color w:val="auto"/>
                <w:kern w:val="0"/>
                <w:sz w:val="21"/>
                <w:szCs w:val="21"/>
                <w:lang w:val="en-US" w:eastAsia="zh-CN" w:bidi="ar"/>
              </w:rPr>
              <w:t>备注</w:t>
            </w:r>
          </w:p>
        </w:tc>
      </w:tr>
      <w:tr w14:paraId="3AE6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942" w:hRule="atLeast"/>
          <w:tblHeader/>
          <w:jc w:val="center"/>
        </w:trPr>
        <w:tc>
          <w:tcPr>
            <w:tcW w:w="712" w:type="pct"/>
            <w:shd w:val="clear" w:color="auto" w:fill="auto"/>
            <w:noWrap w:val="0"/>
            <w:vAlign w:val="center"/>
          </w:tcPr>
          <w:p w14:paraId="2631553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品牌：启功</w:t>
            </w:r>
          </w:p>
          <w:p w14:paraId="2237326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3CB0038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全自动液压式升降柱</w:t>
            </w:r>
          </w:p>
          <w:p w14:paraId="5F6A742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p>
        </w:tc>
        <w:tc>
          <w:tcPr>
            <w:tcW w:w="2540" w:type="pct"/>
            <w:shd w:val="clear" w:color="auto" w:fill="auto"/>
            <w:noWrap w:val="0"/>
            <w:vAlign w:val="center"/>
          </w:tcPr>
          <w:p w14:paraId="4A73464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1、系统控制 ：电动液压；</w:t>
            </w:r>
          </w:p>
          <w:p w14:paraId="4F3AE28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2、升起高度：600±1mm，</w:t>
            </w:r>
          </w:p>
          <w:p w14:paraId="2EDFF3F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3、柱体直径：219±1mm；</w:t>
            </w:r>
          </w:p>
          <w:p w14:paraId="22A6568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4、柱体厚度：12±1mm；</w:t>
            </w:r>
          </w:p>
          <w:p w14:paraId="0B531CC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5、预埋桶规格：预埋深度1100mm*长334mm*宽334mm，预埋桶厚度：5mm；</w:t>
            </w:r>
          </w:p>
          <w:p w14:paraId="69D6628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6、盖板厚度：6±1mm；</w:t>
            </w:r>
          </w:p>
          <w:p w14:paraId="669CAA9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7.柱体总长：850mm；</w:t>
            </w:r>
          </w:p>
          <w:p w14:paraId="6395AEB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8.法兰厚度：8mm；</w:t>
            </w:r>
          </w:p>
          <w:p w14:paraId="6B459FB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9.承重盘厚：30mm；</w:t>
            </w:r>
          </w:p>
          <w:p w14:paraId="0BE1055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10.整机重量：118KG；</w:t>
            </w:r>
          </w:p>
          <w:p w14:paraId="4184DE4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11.柱体工艺：无缝管拉丝；</w:t>
            </w:r>
          </w:p>
          <w:p w14:paraId="72D358A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12.结构配件：模具化拆卸；</w:t>
            </w:r>
          </w:p>
          <w:p w14:paraId="47A02FC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13、材质：304不锈钢。</w:t>
            </w:r>
          </w:p>
          <w:p w14:paraId="3D7A63A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14、通过压力：可通行50吨货柜车。</w:t>
            </w:r>
          </w:p>
          <w:p w14:paraId="5E5BFA8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15、上升速度：≤4S，下降速度：≤2S </w:t>
            </w:r>
          </w:p>
          <w:p w14:paraId="4D4B473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16、供电电源：220V。</w:t>
            </w:r>
          </w:p>
          <w:p w14:paraId="48CD8FF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17、工作温度：-35℃~75℃（适合）</w:t>
            </w:r>
          </w:p>
          <w:p w14:paraId="3E3725C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18、存储环境：-10℃~65℃, 防雨防潮防尘</w:t>
            </w:r>
          </w:p>
          <w:p w14:paraId="7154E1E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19.承重原理：上承重结构；</w:t>
            </w:r>
          </w:p>
          <w:p w14:paraId="08505C5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20.阻挡柱主体顶端具有明显的反光识别带警示标示及具有夜间LED警示灯功能；</w:t>
            </w:r>
          </w:p>
          <w:p w14:paraId="38B08FF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21.抗撞能力：6.8吨65时速撞击，到达B级标准。（需提供第三方权威机构出具的CNAS和CMA检测报告并加盖厂家公章）；</w:t>
            </w:r>
          </w:p>
          <w:p w14:paraId="328CDB4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22.电池舱的设计应做到不可能因可燃性气体的积聚而引起爆炸和着火。（需提供第三方权威机构出具的CNAS和CMA检测报告并加盖厂家公章）；</w:t>
            </w:r>
          </w:p>
          <w:p w14:paraId="0DDA104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23.在外部供电停止状态下，应具有手动泄压下降功能；</w:t>
            </w:r>
          </w:p>
          <w:p w14:paraId="19D2F97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tc>
        <w:tc>
          <w:tcPr>
            <w:tcW w:w="282" w:type="pct"/>
            <w:shd w:val="clear" w:color="auto" w:fill="auto"/>
            <w:noWrap w:val="0"/>
            <w:vAlign w:val="center"/>
          </w:tcPr>
          <w:p w14:paraId="3F8A7AD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根</w:t>
            </w:r>
          </w:p>
        </w:tc>
        <w:tc>
          <w:tcPr>
            <w:tcW w:w="300" w:type="pct"/>
            <w:shd w:val="clear" w:color="auto" w:fill="auto"/>
            <w:noWrap w:val="0"/>
            <w:vAlign w:val="center"/>
          </w:tcPr>
          <w:p w14:paraId="7FFAD55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10</w:t>
            </w:r>
          </w:p>
        </w:tc>
        <w:tc>
          <w:tcPr>
            <w:tcW w:w="1163" w:type="pct"/>
            <w:shd w:val="clear" w:color="auto" w:fill="auto"/>
            <w:noWrap w:val="0"/>
            <w:vAlign w:val="center"/>
          </w:tcPr>
          <w:p w14:paraId="7E6EBD59">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Autospacing="0" w:after="0" w:afterAutospacing="0" w:line="360" w:lineRule="exact"/>
              <w:ind w:left="0" w:leftChars="0" w:right="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142875</wp:posOffset>
                  </wp:positionH>
                  <wp:positionV relativeFrom="paragraph">
                    <wp:posOffset>-1177925</wp:posOffset>
                  </wp:positionV>
                  <wp:extent cx="780415" cy="2788920"/>
                  <wp:effectExtent l="0" t="0" r="635" b="11430"/>
                  <wp:wrapNone/>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10"/>
                          <a:srcRect l="21884" t="1463" r="24733" b="2634"/>
                          <a:stretch>
                            <a:fillRect/>
                          </a:stretch>
                        </pic:blipFill>
                        <pic:spPr>
                          <a:xfrm>
                            <a:off x="0" y="0"/>
                            <a:ext cx="780415" cy="2788920"/>
                          </a:xfrm>
                          <a:prstGeom prst="rect">
                            <a:avLst/>
                          </a:prstGeom>
                          <a:noFill/>
                          <a:ln w="12700">
                            <a:noFill/>
                          </a:ln>
                        </pic:spPr>
                      </pic:pic>
                    </a:graphicData>
                  </a:graphic>
                </wp:anchor>
              </w:drawing>
            </w:r>
          </w:p>
          <w:p w14:paraId="596BEFFE">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Autospacing="0" w:after="0" w:afterAutospacing="0" w:line="360" w:lineRule="exact"/>
              <w:ind w:left="0" w:leftChars="0" w:right="0" w:firstLine="0" w:firstLineChars="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148590</wp:posOffset>
                  </wp:positionH>
                  <wp:positionV relativeFrom="paragraph">
                    <wp:posOffset>1655445</wp:posOffset>
                  </wp:positionV>
                  <wp:extent cx="762635" cy="2866390"/>
                  <wp:effectExtent l="0" t="0" r="18415" b="10160"/>
                  <wp:wrapNone/>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11"/>
                          <a:srcRect l="10148" t="2866" r="9852" b="1791"/>
                          <a:stretch>
                            <a:fillRect/>
                          </a:stretch>
                        </pic:blipFill>
                        <pic:spPr>
                          <a:xfrm>
                            <a:off x="0" y="0"/>
                            <a:ext cx="762635" cy="2866390"/>
                          </a:xfrm>
                          <a:prstGeom prst="rect">
                            <a:avLst/>
                          </a:prstGeom>
                          <a:noFill/>
                          <a:ln w="12700">
                            <a:noFill/>
                          </a:ln>
                        </pic:spPr>
                      </pic:pic>
                    </a:graphicData>
                  </a:graphic>
                </wp:anchor>
              </w:drawing>
            </w:r>
          </w:p>
        </w:tc>
      </w:tr>
      <w:tr w14:paraId="3CA1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19" w:hRule="atLeast"/>
          <w:tblHeader/>
          <w:jc w:val="center"/>
        </w:trPr>
        <w:tc>
          <w:tcPr>
            <w:tcW w:w="712" w:type="pct"/>
            <w:shd w:val="clear" w:color="auto" w:fill="auto"/>
            <w:noWrap w:val="0"/>
            <w:vAlign w:val="center"/>
          </w:tcPr>
          <w:p w14:paraId="4AC2F64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4E58FB8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7D1AB59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品牌：启功</w:t>
            </w:r>
          </w:p>
          <w:p w14:paraId="7639119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4D9FEEE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44D842B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全自动液压式升降柱控制系统（1控8不锈钢防水控制箱）</w:t>
            </w:r>
          </w:p>
          <w:p w14:paraId="7FA5ABF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tc>
        <w:tc>
          <w:tcPr>
            <w:tcW w:w="2540" w:type="pct"/>
            <w:shd w:val="clear" w:color="auto" w:fill="auto"/>
            <w:noWrap w:val="0"/>
            <w:vAlign w:val="center"/>
          </w:tcPr>
          <w:p w14:paraId="560B834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1、输入电压：AC 220V；</w:t>
            </w:r>
          </w:p>
          <w:p w14:paraId="6095F0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2、控制电压：≤DC 12V；</w:t>
            </w:r>
          </w:p>
          <w:p w14:paraId="6C0EFE2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3、防护等级：IP54；</w:t>
            </w:r>
          </w:p>
          <w:p w14:paraId="348D864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4、控制方式：无线遥控；</w:t>
            </w:r>
          </w:p>
          <w:p w14:paraId="26C6153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5、安装方式：立式、挂式均可；</w:t>
            </w:r>
          </w:p>
          <w:p w14:paraId="3941EC6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6、防顶车：设备应能通过接收地感线圈发送的禁止上升信号控制车辆通行过程中升降柱的上升；</w:t>
            </w:r>
          </w:p>
          <w:p w14:paraId="28C8858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7、应急按钮：控制柜主板上预留有紧急上升及下降按钮接口；</w:t>
            </w:r>
          </w:p>
          <w:p w14:paraId="7D2DAAE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8、应急电源：在停电时，可以通过应急电源泄压使升降柱下降，恢复供电后，备用电源复位。</w:t>
            </w:r>
          </w:p>
          <w:p w14:paraId="6EE973E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9、联动接口：控制柜主板上预留可扩展警示灯、门禁系统、车牌识别、地感线圈、红外感应、蓝牙、射频（RFID）、远程控制（TCP/IP）、消防、治安等联动接口；（预留有功能端口）</w:t>
            </w:r>
          </w:p>
          <w:p w14:paraId="6AA05A5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10、控制箱尺寸：600*500*200mm</w:t>
            </w:r>
          </w:p>
        </w:tc>
        <w:tc>
          <w:tcPr>
            <w:tcW w:w="282" w:type="pct"/>
            <w:shd w:val="clear" w:color="auto" w:fill="auto"/>
            <w:noWrap w:val="0"/>
            <w:vAlign w:val="center"/>
          </w:tcPr>
          <w:p w14:paraId="0613660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套</w:t>
            </w:r>
          </w:p>
        </w:tc>
        <w:tc>
          <w:tcPr>
            <w:tcW w:w="300" w:type="pct"/>
            <w:shd w:val="clear" w:color="auto" w:fill="auto"/>
            <w:noWrap w:val="0"/>
            <w:vAlign w:val="center"/>
          </w:tcPr>
          <w:p w14:paraId="6BCDC0F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2</w:t>
            </w:r>
          </w:p>
        </w:tc>
        <w:tc>
          <w:tcPr>
            <w:tcW w:w="1163" w:type="pct"/>
            <w:shd w:val="clear" w:color="auto" w:fill="auto"/>
            <w:noWrap w:val="0"/>
            <w:vAlign w:val="center"/>
          </w:tcPr>
          <w:p w14:paraId="079477C4">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Autospacing="0" w:after="0" w:afterAutospacing="0" w:line="360" w:lineRule="exact"/>
              <w:ind w:left="0" w:leftChars="0" w:right="0" w:firstLine="0" w:firstLineChars="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3175</wp:posOffset>
                  </wp:positionV>
                  <wp:extent cx="1071245" cy="1437005"/>
                  <wp:effectExtent l="0" t="0" r="14605" b="10795"/>
                  <wp:wrapNone/>
                  <wp:docPr id="48" name="图片 48" descr="67c63d55266826af65f083472eeb6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67c63d55266826af65f083472eeb634a"/>
                          <pic:cNvPicPr>
                            <a:picLocks noChangeAspect="1"/>
                          </pic:cNvPicPr>
                        </pic:nvPicPr>
                        <pic:blipFill>
                          <a:blip r:embed="rId12"/>
                          <a:srcRect l="1474" t="550" r="-1474" b="-550"/>
                          <a:stretch>
                            <a:fillRect/>
                          </a:stretch>
                        </pic:blipFill>
                        <pic:spPr>
                          <a:xfrm>
                            <a:off x="0" y="0"/>
                            <a:ext cx="1071245" cy="1437005"/>
                          </a:xfrm>
                          <a:prstGeom prst="rect">
                            <a:avLst/>
                          </a:prstGeom>
                        </pic:spPr>
                      </pic:pic>
                    </a:graphicData>
                  </a:graphic>
                </wp:anchor>
              </w:drawing>
            </w:r>
          </w:p>
        </w:tc>
      </w:tr>
      <w:tr w14:paraId="0DBA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74" w:hRule="atLeast"/>
          <w:tblHeader/>
          <w:jc w:val="center"/>
        </w:trPr>
        <w:tc>
          <w:tcPr>
            <w:tcW w:w="712" w:type="pct"/>
            <w:shd w:val="clear" w:color="auto" w:fill="auto"/>
            <w:noWrap w:val="0"/>
            <w:vAlign w:val="center"/>
          </w:tcPr>
          <w:p w14:paraId="5825042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专用遥控器</w:t>
            </w:r>
          </w:p>
          <w:p w14:paraId="663AAAF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tc>
        <w:tc>
          <w:tcPr>
            <w:tcW w:w="2540" w:type="pct"/>
            <w:shd w:val="clear" w:color="auto" w:fill="auto"/>
            <w:noWrap w:val="0"/>
            <w:vAlign w:val="center"/>
          </w:tcPr>
          <w:p w14:paraId="7DBD15F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1.一个控制箱配2个无线遥控器；</w:t>
            </w:r>
          </w:p>
          <w:p w14:paraId="1910C5A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2.遥控距离30米-40米；</w:t>
            </w:r>
          </w:p>
          <w:p w14:paraId="2A5234E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3.规格尺寸115*50*15mm；</w:t>
            </w:r>
          </w:p>
          <w:p w14:paraId="3A39627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sz w:val="21"/>
                <w:szCs w:val="21"/>
                <w:lang w:val="en-US" w:eastAsia="zh-CN"/>
              </w:rPr>
              <w:t>4.一个遥控最多可以控制8个升降柱；</w:t>
            </w:r>
          </w:p>
        </w:tc>
        <w:tc>
          <w:tcPr>
            <w:tcW w:w="282" w:type="pct"/>
            <w:shd w:val="clear" w:color="auto" w:fill="auto"/>
            <w:noWrap w:val="0"/>
            <w:vAlign w:val="center"/>
          </w:tcPr>
          <w:p w14:paraId="43F7D6D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个</w:t>
            </w:r>
          </w:p>
        </w:tc>
        <w:tc>
          <w:tcPr>
            <w:tcW w:w="300" w:type="pct"/>
            <w:shd w:val="clear" w:color="auto" w:fill="auto"/>
            <w:noWrap w:val="0"/>
            <w:vAlign w:val="center"/>
          </w:tcPr>
          <w:p w14:paraId="0754230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4</w:t>
            </w:r>
          </w:p>
        </w:tc>
        <w:tc>
          <w:tcPr>
            <w:tcW w:w="1163" w:type="pct"/>
            <w:shd w:val="clear" w:color="auto" w:fill="auto"/>
            <w:noWrap w:val="0"/>
            <w:vAlign w:val="center"/>
          </w:tcPr>
          <w:p w14:paraId="7F5F8BB4">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drawing>
                <wp:anchor distT="0" distB="0" distL="114300" distR="114300" simplePos="0" relativeHeight="251663360" behindDoc="1" locked="0" layoutInCell="1" allowOverlap="1">
                  <wp:simplePos x="0" y="0"/>
                  <wp:positionH relativeFrom="column">
                    <wp:posOffset>396240</wp:posOffset>
                  </wp:positionH>
                  <wp:positionV relativeFrom="paragraph">
                    <wp:posOffset>3175</wp:posOffset>
                  </wp:positionV>
                  <wp:extent cx="285750" cy="629285"/>
                  <wp:effectExtent l="0" t="0" r="0" b="18415"/>
                  <wp:wrapNone/>
                  <wp:docPr id="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pic:cNvPicPr>
                            <a:picLocks noChangeAspect="1"/>
                          </pic:cNvPicPr>
                        </pic:nvPicPr>
                        <pic:blipFill>
                          <a:blip r:embed="rId13"/>
                          <a:stretch>
                            <a:fillRect/>
                          </a:stretch>
                        </pic:blipFill>
                        <pic:spPr>
                          <a:xfrm>
                            <a:off x="0" y="0"/>
                            <a:ext cx="285750" cy="629285"/>
                          </a:xfrm>
                          <a:prstGeom prst="rect">
                            <a:avLst/>
                          </a:prstGeom>
                          <a:noFill/>
                          <a:ln>
                            <a:noFill/>
                          </a:ln>
                        </pic:spPr>
                      </pic:pic>
                    </a:graphicData>
                  </a:graphic>
                </wp:anchor>
              </w:drawing>
            </w:r>
          </w:p>
        </w:tc>
      </w:tr>
      <w:tr w14:paraId="236E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50" w:hRule="atLeast"/>
          <w:tblHeader/>
          <w:jc w:val="center"/>
        </w:trPr>
        <w:tc>
          <w:tcPr>
            <w:tcW w:w="712" w:type="pct"/>
            <w:shd w:val="clear" w:color="auto" w:fill="auto"/>
            <w:noWrap w:val="0"/>
            <w:vAlign w:val="center"/>
          </w:tcPr>
          <w:p w14:paraId="515A783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品牌:绿美之星</w:t>
            </w:r>
          </w:p>
          <w:p w14:paraId="66AE2103">
            <w:pPr>
              <w:keepNext w:val="0"/>
              <w:keepLines w:val="0"/>
              <w:pageBreakBefore w:val="0"/>
              <w:widowControl w:val="0"/>
              <w:wordWrap/>
              <w:overflowPunct/>
              <w:topLinePunct w:val="0"/>
              <w:bidi w:val="0"/>
              <w:spacing w:line="360" w:lineRule="exact"/>
              <w:ind w:left="0" w:leftChars="0" w:firstLine="0" w:firstLineChars="0"/>
              <w:jc w:val="center"/>
              <w:rPr>
                <w:rFonts w:hint="eastAsia" w:ascii="宋体" w:hAnsi="宋体" w:eastAsia="宋体" w:cs="宋体"/>
                <w:b/>
                <w:bCs/>
                <w:kern w:val="2"/>
                <w:sz w:val="21"/>
                <w:szCs w:val="21"/>
                <w:lang w:val="en-US" w:eastAsia="zh-CN" w:bidi="ar-SA"/>
              </w:rPr>
            </w:pPr>
          </w:p>
          <w:p w14:paraId="02D3410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排水系统</w:t>
            </w:r>
          </w:p>
        </w:tc>
        <w:tc>
          <w:tcPr>
            <w:tcW w:w="2540" w:type="pct"/>
            <w:shd w:val="clear" w:color="auto" w:fill="auto"/>
            <w:noWrap w:val="0"/>
            <w:vAlign w:val="center"/>
          </w:tcPr>
          <w:p w14:paraId="5F1F07E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p>
          <w:p w14:paraId="14EF094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1.水泵带有浮球;不锈钢材质，功率1100W，排水量:8m3/h，品牌:绿美之星</w:t>
            </w:r>
          </w:p>
          <w:p w14:paraId="534D1CA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2.井盖为碳钢材质，直径350MM</w:t>
            </w:r>
          </w:p>
          <w:p w14:paraId="51390CB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3.蓄水管高度1米;直径320MM</w:t>
            </w:r>
          </w:p>
          <w:p w14:paraId="1E534F8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4.箱体内置排水控制器，具有漏电保护，根据水位自动控制污水泵运行</w:t>
            </w:r>
          </w:p>
          <w:p w14:paraId="5BE2BCE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5.包含开槽</w:t>
            </w:r>
            <w:r>
              <w:rPr>
                <w:rFonts w:hint="eastAsia" w:ascii="宋体" w:hAnsi="宋体" w:eastAsia="宋体" w:cs="宋体"/>
                <w:sz w:val="21"/>
                <w:szCs w:val="21"/>
                <w:highlight w:val="none"/>
                <w:lang w:val="en-US" w:eastAsia="zh-CN"/>
              </w:rPr>
              <w:t>铺设排水管道，引至下水道或排水井等一切费用。</w:t>
            </w:r>
          </w:p>
        </w:tc>
        <w:tc>
          <w:tcPr>
            <w:tcW w:w="282" w:type="pct"/>
            <w:shd w:val="clear" w:color="auto" w:fill="auto"/>
            <w:noWrap w:val="0"/>
            <w:vAlign w:val="center"/>
          </w:tcPr>
          <w:p w14:paraId="27CED7E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套</w:t>
            </w:r>
          </w:p>
        </w:tc>
        <w:tc>
          <w:tcPr>
            <w:tcW w:w="300" w:type="pct"/>
            <w:shd w:val="clear" w:color="auto" w:fill="auto"/>
            <w:noWrap w:val="0"/>
            <w:vAlign w:val="center"/>
          </w:tcPr>
          <w:p w14:paraId="348E74AF">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2</w:t>
            </w:r>
          </w:p>
        </w:tc>
        <w:tc>
          <w:tcPr>
            <w:tcW w:w="1163" w:type="pct"/>
            <w:shd w:val="clear" w:color="auto" w:fill="auto"/>
            <w:noWrap w:val="0"/>
            <w:vAlign w:val="center"/>
          </w:tcPr>
          <w:p w14:paraId="15300AB6">
            <w:pPr>
              <w:keepNext w:val="0"/>
              <w:keepLines w:val="0"/>
              <w:pageBreakBefore w:val="0"/>
              <w:widowControl/>
              <w:suppressLineNumbers w:val="0"/>
              <w:wordWrap/>
              <w:overflowPunct/>
              <w:topLinePunct w:val="0"/>
              <w:bidi w:val="0"/>
              <w:spacing w:beforeAutospacing="0" w:after="0" w:afterAutospacing="0" w:line="360" w:lineRule="exact"/>
              <w:ind w:left="0" w:leftChars="0" w:right="0" w:firstLine="0" w:firstLineChars="0"/>
              <w:jc w:val="left"/>
              <w:rPr>
                <w:rFonts w:hint="eastAsia" w:ascii="宋体" w:hAnsi="宋体" w:eastAsia="宋体" w:cs="宋体"/>
                <w:sz w:val="21"/>
                <w:szCs w:val="21"/>
              </w:rPr>
            </w:pPr>
          </w:p>
          <w:p w14:paraId="5C04A7D7">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kern w:val="0"/>
                <w:sz w:val="21"/>
                <w:szCs w:val="21"/>
                <w:lang w:val="en-US" w:eastAsia="zh-CN" w:bidi="ar"/>
              </w:rPr>
              <w:drawing>
                <wp:anchor distT="0" distB="0" distL="114300" distR="114300" simplePos="0" relativeHeight="251663360" behindDoc="1" locked="0" layoutInCell="1" allowOverlap="1">
                  <wp:simplePos x="0" y="0"/>
                  <wp:positionH relativeFrom="column">
                    <wp:posOffset>-9525</wp:posOffset>
                  </wp:positionH>
                  <wp:positionV relativeFrom="paragraph">
                    <wp:posOffset>757555</wp:posOffset>
                  </wp:positionV>
                  <wp:extent cx="428625" cy="476250"/>
                  <wp:effectExtent l="0" t="0" r="9525" b="0"/>
                  <wp:wrapNone/>
                  <wp:docPr id="5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 descr="IMG_256"/>
                          <pic:cNvPicPr>
                            <a:picLocks noChangeAspect="1"/>
                          </pic:cNvPicPr>
                        </pic:nvPicPr>
                        <pic:blipFill>
                          <a:blip r:embed="rId14"/>
                          <a:stretch>
                            <a:fillRect/>
                          </a:stretch>
                        </pic:blipFill>
                        <pic:spPr>
                          <a:xfrm>
                            <a:off x="0" y="0"/>
                            <a:ext cx="428625" cy="476250"/>
                          </a:xfrm>
                          <a:prstGeom prst="rect">
                            <a:avLst/>
                          </a:prstGeom>
                          <a:noFill/>
                          <a:ln w="9525">
                            <a:noFill/>
                          </a:ln>
                        </pic:spPr>
                      </pic:pic>
                    </a:graphicData>
                  </a:graphic>
                </wp:anchor>
              </w:drawing>
            </w:r>
            <w:r>
              <w:rPr>
                <w:rFonts w:hint="eastAsia" w:ascii="宋体" w:hAnsi="宋体" w:eastAsia="宋体" w:cs="宋体"/>
                <w:kern w:val="0"/>
                <w:sz w:val="21"/>
                <w:szCs w:val="21"/>
                <w:lang w:val="en-US" w:eastAsia="zh-CN" w:bidi="ar"/>
              </w:rPr>
              <w:drawing>
                <wp:anchor distT="0" distB="0" distL="114300" distR="114300" simplePos="0" relativeHeight="251663360" behindDoc="1" locked="0" layoutInCell="1" allowOverlap="1">
                  <wp:simplePos x="0" y="0"/>
                  <wp:positionH relativeFrom="column">
                    <wp:posOffset>542925</wp:posOffset>
                  </wp:positionH>
                  <wp:positionV relativeFrom="paragraph">
                    <wp:posOffset>262255</wp:posOffset>
                  </wp:positionV>
                  <wp:extent cx="314325" cy="514350"/>
                  <wp:effectExtent l="0" t="0" r="9525" b="0"/>
                  <wp:wrapNone/>
                  <wp:docPr id="5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 descr="IMG_256"/>
                          <pic:cNvPicPr>
                            <a:picLocks noChangeAspect="1"/>
                          </pic:cNvPicPr>
                        </pic:nvPicPr>
                        <pic:blipFill>
                          <a:blip r:embed="rId15"/>
                          <a:stretch>
                            <a:fillRect/>
                          </a:stretch>
                        </pic:blipFill>
                        <pic:spPr>
                          <a:xfrm>
                            <a:off x="0" y="0"/>
                            <a:ext cx="314325" cy="514350"/>
                          </a:xfrm>
                          <a:prstGeom prst="rect">
                            <a:avLst/>
                          </a:prstGeom>
                          <a:noFill/>
                          <a:ln w="9525">
                            <a:noFill/>
                          </a:ln>
                        </pic:spPr>
                      </pic:pic>
                    </a:graphicData>
                  </a:graphic>
                </wp:anchor>
              </w:drawing>
            </w:r>
            <w:r>
              <w:rPr>
                <w:rFonts w:hint="eastAsia" w:ascii="宋体" w:hAnsi="宋体" w:eastAsia="宋体" w:cs="宋体"/>
                <w:kern w:val="0"/>
                <w:sz w:val="21"/>
                <w:szCs w:val="21"/>
                <w:lang w:val="en-US" w:eastAsia="zh-CN" w:bidi="ar"/>
              </w:rPr>
              <w:drawing>
                <wp:anchor distT="0" distB="0" distL="114300" distR="114300" simplePos="0" relativeHeight="251663360" behindDoc="1" locked="0" layoutInCell="1" allowOverlap="1">
                  <wp:simplePos x="0" y="0"/>
                  <wp:positionH relativeFrom="column">
                    <wp:posOffset>-38100</wp:posOffset>
                  </wp:positionH>
                  <wp:positionV relativeFrom="paragraph">
                    <wp:posOffset>287655</wp:posOffset>
                  </wp:positionV>
                  <wp:extent cx="428625" cy="457200"/>
                  <wp:effectExtent l="0" t="0" r="9525" b="0"/>
                  <wp:wrapNone/>
                  <wp:docPr id="5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descr="IMG_256"/>
                          <pic:cNvPicPr>
                            <a:picLocks noChangeAspect="1"/>
                          </pic:cNvPicPr>
                        </pic:nvPicPr>
                        <pic:blipFill>
                          <a:blip r:embed="rId16"/>
                          <a:stretch>
                            <a:fillRect/>
                          </a:stretch>
                        </pic:blipFill>
                        <pic:spPr>
                          <a:xfrm>
                            <a:off x="0" y="0"/>
                            <a:ext cx="428625" cy="457200"/>
                          </a:xfrm>
                          <a:prstGeom prst="rect">
                            <a:avLst/>
                          </a:prstGeom>
                          <a:noFill/>
                          <a:ln w="9525">
                            <a:noFill/>
                          </a:ln>
                        </pic:spPr>
                      </pic:pic>
                    </a:graphicData>
                  </a:graphic>
                </wp:anchor>
              </w:drawing>
            </w:r>
            <w:r>
              <w:rPr>
                <w:rFonts w:hint="eastAsia" w:ascii="宋体" w:hAnsi="宋体" w:eastAsia="宋体" w:cs="宋体"/>
                <w:kern w:val="0"/>
                <w:sz w:val="21"/>
                <w:szCs w:val="21"/>
                <w:lang w:val="en-US" w:eastAsia="zh-CN" w:bidi="ar"/>
              </w:rPr>
              <w:drawing>
                <wp:anchor distT="0" distB="0" distL="114300" distR="114300" simplePos="0" relativeHeight="251663360" behindDoc="1" locked="0" layoutInCell="1" allowOverlap="1">
                  <wp:simplePos x="0" y="0"/>
                  <wp:positionH relativeFrom="column">
                    <wp:posOffset>523875</wp:posOffset>
                  </wp:positionH>
                  <wp:positionV relativeFrom="paragraph">
                    <wp:posOffset>805180</wp:posOffset>
                  </wp:positionV>
                  <wp:extent cx="361950" cy="466725"/>
                  <wp:effectExtent l="0" t="0" r="0" b="9525"/>
                  <wp:wrapNone/>
                  <wp:docPr id="5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 descr="IMG_256"/>
                          <pic:cNvPicPr>
                            <a:picLocks noChangeAspect="1"/>
                          </pic:cNvPicPr>
                        </pic:nvPicPr>
                        <pic:blipFill>
                          <a:blip r:embed="rId17"/>
                          <a:stretch>
                            <a:fillRect/>
                          </a:stretch>
                        </pic:blipFill>
                        <pic:spPr>
                          <a:xfrm>
                            <a:off x="0" y="0"/>
                            <a:ext cx="361950" cy="466725"/>
                          </a:xfrm>
                          <a:prstGeom prst="rect">
                            <a:avLst/>
                          </a:prstGeom>
                          <a:noFill/>
                          <a:ln w="9525">
                            <a:noFill/>
                          </a:ln>
                        </pic:spPr>
                      </pic:pic>
                    </a:graphicData>
                  </a:graphic>
                </wp:anchor>
              </w:drawing>
            </w:r>
          </w:p>
        </w:tc>
      </w:tr>
      <w:tr w14:paraId="3DB3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94" w:hRule="atLeast"/>
          <w:tblHeader/>
          <w:jc w:val="center"/>
        </w:trPr>
        <w:tc>
          <w:tcPr>
            <w:tcW w:w="712" w:type="pct"/>
            <w:shd w:val="clear" w:color="auto" w:fill="auto"/>
            <w:noWrap w:val="0"/>
            <w:vAlign w:val="center"/>
          </w:tcPr>
          <w:p w14:paraId="604A3F7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sz w:val="21"/>
                <w:szCs w:val="21"/>
                <w:lang w:val="en-US" w:eastAsia="zh-CN"/>
              </w:rPr>
              <w:t>电动液压升降柱安装施工</w:t>
            </w:r>
          </w:p>
        </w:tc>
        <w:tc>
          <w:tcPr>
            <w:tcW w:w="2540" w:type="pct"/>
            <w:shd w:val="clear" w:color="auto" w:fill="auto"/>
            <w:noWrap w:val="0"/>
            <w:vAlign w:val="center"/>
          </w:tcPr>
          <w:p w14:paraId="39C1A49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包含走线、接线、套管、主动排水、焊接角铁、设备调试，包含PVC线管、线材等相关一切费用。</w:t>
            </w:r>
          </w:p>
          <w:p w14:paraId="537FE7C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包含施工围挡（施工前准备）、开挖、浇筑、混凝土回填、沥青恢复地面、渣土运输、垃圾清运等项的人工、机械等相关一切费用。</w:t>
            </w:r>
          </w:p>
        </w:tc>
        <w:tc>
          <w:tcPr>
            <w:tcW w:w="282" w:type="pct"/>
            <w:shd w:val="clear" w:color="auto" w:fill="auto"/>
            <w:noWrap w:val="0"/>
            <w:vAlign w:val="center"/>
          </w:tcPr>
          <w:p w14:paraId="5CCA4C0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根</w:t>
            </w:r>
          </w:p>
        </w:tc>
        <w:tc>
          <w:tcPr>
            <w:tcW w:w="300" w:type="pct"/>
            <w:shd w:val="clear" w:color="auto" w:fill="auto"/>
            <w:noWrap w:val="0"/>
            <w:vAlign w:val="center"/>
          </w:tcPr>
          <w:p w14:paraId="350E4E2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auto"/>
                <w:kern w:val="0"/>
                <w:sz w:val="21"/>
                <w:szCs w:val="21"/>
                <w:lang w:val="en-US" w:eastAsia="zh-CN" w:bidi="ar"/>
              </w:rPr>
            </w:pPr>
            <w:r>
              <w:rPr>
                <w:rFonts w:hint="eastAsia" w:ascii="宋体" w:hAnsi="宋体" w:eastAsia="宋体" w:cs="宋体"/>
                <w:i w:val="0"/>
                <w:iCs w:val="0"/>
                <w:snapToGrid/>
                <w:color w:val="auto"/>
                <w:kern w:val="0"/>
                <w:sz w:val="21"/>
                <w:szCs w:val="21"/>
                <w:lang w:val="en-US" w:eastAsia="zh-CN" w:bidi="ar"/>
              </w:rPr>
              <w:t>10</w:t>
            </w:r>
          </w:p>
        </w:tc>
        <w:tc>
          <w:tcPr>
            <w:tcW w:w="1163" w:type="pct"/>
            <w:shd w:val="clear" w:color="auto" w:fill="auto"/>
            <w:noWrap w:val="0"/>
            <w:vAlign w:val="center"/>
          </w:tcPr>
          <w:p w14:paraId="783200B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1、包含升降柱到控制箱走线。</w:t>
            </w:r>
          </w:p>
          <w:p w14:paraId="1EEACE2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2、包含控制箱取总电走线。</w:t>
            </w:r>
          </w:p>
        </w:tc>
      </w:tr>
      <w:tr w14:paraId="66A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13" w:hRule="atLeast"/>
          <w:tblHeader/>
          <w:jc w:val="center"/>
        </w:trPr>
        <w:tc>
          <w:tcPr>
            <w:tcW w:w="712" w:type="pct"/>
            <w:shd w:val="clear" w:color="auto" w:fill="auto"/>
            <w:noWrap w:val="0"/>
            <w:vAlign w:val="center"/>
          </w:tcPr>
          <w:p w14:paraId="3B31C97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质保期及售后</w:t>
            </w:r>
          </w:p>
        </w:tc>
        <w:tc>
          <w:tcPr>
            <w:tcW w:w="2540" w:type="pct"/>
            <w:shd w:val="clear" w:color="auto" w:fill="auto"/>
            <w:noWrap w:val="0"/>
            <w:vAlign w:val="center"/>
          </w:tcPr>
          <w:p w14:paraId="7A86014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质量保证期（简称“质保期”）为设备自交付验收合格之日起</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对所提供设备实行包</w:t>
            </w:r>
            <w:r>
              <w:rPr>
                <w:rFonts w:hint="eastAsia" w:ascii="宋体" w:hAnsi="宋体" w:eastAsia="宋体" w:cs="宋体"/>
                <w:sz w:val="21"/>
                <w:szCs w:val="21"/>
                <w:highlight w:val="none"/>
                <w:lang w:eastAsia="zh-CN"/>
              </w:rPr>
              <w:t>维</w:t>
            </w:r>
            <w:r>
              <w:rPr>
                <w:rFonts w:hint="eastAsia" w:ascii="宋体" w:hAnsi="宋体" w:eastAsia="宋体" w:cs="宋体"/>
                <w:sz w:val="21"/>
                <w:szCs w:val="21"/>
                <w:highlight w:val="none"/>
              </w:rPr>
              <w:t>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包换</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rPr>
              <w:t>免费更换损坏零部件</w:t>
            </w:r>
            <w:r>
              <w:rPr>
                <w:rFonts w:hint="eastAsia" w:ascii="宋体" w:hAnsi="宋体" w:eastAsia="宋体" w:cs="宋体"/>
                <w:sz w:val="21"/>
                <w:szCs w:val="21"/>
                <w:highlight w:val="none"/>
              </w:rPr>
              <w:t>、</w:t>
            </w:r>
            <w:r>
              <w:rPr>
                <w:rFonts w:hint="eastAsia" w:ascii="宋体" w:hAnsi="宋体" w:eastAsia="宋体" w:cs="宋体"/>
                <w:sz w:val="21"/>
                <w:szCs w:val="21"/>
              </w:rPr>
              <w:t>免费维修</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）、包</w:t>
            </w:r>
            <w:r>
              <w:rPr>
                <w:rFonts w:hint="eastAsia" w:ascii="宋体" w:hAnsi="宋体" w:eastAsia="宋体" w:cs="宋体"/>
                <w:sz w:val="21"/>
                <w:szCs w:val="21"/>
                <w:highlight w:val="none"/>
              </w:rPr>
              <w:t>保养以及软件终身免费升级，</w:t>
            </w:r>
            <w:r>
              <w:rPr>
                <w:rFonts w:hint="eastAsia" w:ascii="宋体" w:hAnsi="宋体" w:eastAsia="宋体" w:cs="宋体"/>
                <w:sz w:val="21"/>
                <w:szCs w:val="21"/>
                <w:highlight w:val="none"/>
                <w:lang w:eastAsia="zh-CN"/>
              </w:rPr>
              <w:t>包括但不限于免费更换零部件、人工费等一切费用，采购人不再支付任何费用，</w:t>
            </w:r>
            <w:r>
              <w:rPr>
                <w:rFonts w:hint="eastAsia" w:ascii="宋体" w:hAnsi="宋体" w:eastAsia="宋体" w:cs="宋体"/>
                <w:sz w:val="21"/>
                <w:szCs w:val="21"/>
                <w:highlight w:val="none"/>
              </w:rPr>
              <w:t>期满后可同时提供终身有偿维修保养服务</w:t>
            </w:r>
            <w:r>
              <w:rPr>
                <w:rFonts w:hint="eastAsia" w:ascii="宋体" w:hAnsi="宋体" w:eastAsia="宋体" w:cs="宋体"/>
                <w:sz w:val="21"/>
                <w:szCs w:val="21"/>
                <w:highlight w:val="none"/>
                <w:lang w:eastAsia="zh-CN"/>
              </w:rPr>
              <w:t>方案。</w:t>
            </w:r>
          </w:p>
        </w:tc>
        <w:tc>
          <w:tcPr>
            <w:tcW w:w="282" w:type="pct"/>
            <w:shd w:val="clear" w:color="auto" w:fill="auto"/>
            <w:noWrap w:val="0"/>
            <w:vAlign w:val="center"/>
          </w:tcPr>
          <w:p w14:paraId="1A0F0A0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000000"/>
                <w:kern w:val="0"/>
                <w:sz w:val="21"/>
                <w:szCs w:val="21"/>
                <w:lang w:val="en-US" w:eastAsia="zh-CN" w:bidi="ar"/>
              </w:rPr>
            </w:pPr>
            <w:r>
              <w:rPr>
                <w:rFonts w:hint="eastAsia" w:ascii="宋体" w:hAnsi="宋体" w:eastAsia="宋体" w:cs="宋体"/>
                <w:i w:val="0"/>
                <w:iCs w:val="0"/>
                <w:snapToGrid/>
                <w:color w:val="000000"/>
                <w:kern w:val="0"/>
                <w:sz w:val="21"/>
                <w:szCs w:val="21"/>
                <w:lang w:val="en-US" w:eastAsia="zh-CN" w:bidi="ar"/>
              </w:rPr>
              <w:t>项</w:t>
            </w:r>
          </w:p>
        </w:tc>
        <w:tc>
          <w:tcPr>
            <w:tcW w:w="300" w:type="pct"/>
            <w:shd w:val="clear" w:color="auto" w:fill="auto"/>
            <w:noWrap w:val="0"/>
            <w:vAlign w:val="center"/>
          </w:tcPr>
          <w:p w14:paraId="74891DF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i w:val="0"/>
                <w:iCs w:val="0"/>
                <w:snapToGrid/>
                <w:color w:val="000000"/>
                <w:kern w:val="0"/>
                <w:sz w:val="21"/>
                <w:szCs w:val="21"/>
                <w:lang w:val="en-US" w:eastAsia="zh-CN" w:bidi="ar"/>
              </w:rPr>
            </w:pPr>
            <w:r>
              <w:rPr>
                <w:rFonts w:hint="eastAsia" w:ascii="宋体" w:hAnsi="宋体" w:eastAsia="宋体" w:cs="宋体"/>
                <w:i w:val="0"/>
                <w:iCs w:val="0"/>
                <w:snapToGrid/>
                <w:color w:val="000000"/>
                <w:kern w:val="0"/>
                <w:sz w:val="21"/>
                <w:szCs w:val="21"/>
                <w:lang w:val="en-US" w:eastAsia="zh-CN" w:bidi="ar"/>
              </w:rPr>
              <w:t>1</w:t>
            </w:r>
          </w:p>
        </w:tc>
        <w:tc>
          <w:tcPr>
            <w:tcW w:w="1163" w:type="pct"/>
            <w:shd w:val="clear" w:color="auto" w:fill="auto"/>
            <w:noWrap w:val="0"/>
            <w:vAlign w:val="center"/>
          </w:tcPr>
          <w:p w14:paraId="0C6BC716">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质保期：5年；</w:t>
            </w:r>
          </w:p>
          <w:p w14:paraId="1156C1DA">
            <w:pPr>
              <w:keepNext w:val="0"/>
              <w:keepLines w:val="0"/>
              <w:pageBreakBefore w:val="0"/>
              <w:widowControl/>
              <w:suppressLineNumbers w:val="0"/>
              <w:tabs>
                <w:tab w:val="center" w:pos="1017"/>
              </w:tabs>
              <w:kinsoku w:val="0"/>
              <w:wordWrap/>
              <w:overflowPunct/>
              <w:topLinePunct w:val="0"/>
              <w:autoSpaceDE w:val="0"/>
              <w:autoSpaceDN w:val="0"/>
              <w:bidi w:val="0"/>
              <w:adjustRightInd w:val="0"/>
              <w:snapToGrid w:val="0"/>
              <w:spacing w:beforeAutospacing="0" w:after="0" w:afterAutospacing="0" w:line="360" w:lineRule="exact"/>
              <w:ind w:left="0" w:leftChars="0" w:right="0" w:righ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10根电动液压升降柱及相关配套设备（包含控制系统等）</w:t>
            </w:r>
          </w:p>
        </w:tc>
      </w:tr>
    </w:tbl>
    <w:p w14:paraId="61E860DA">
      <w:pPr>
        <w:pageBreakBefore w:val="0"/>
        <w:numPr>
          <w:ilvl w:val="0"/>
          <w:numId w:val="0"/>
        </w:numPr>
        <w:kinsoku/>
        <w:wordWrap/>
        <w:overflowPunct/>
        <w:topLinePunct w:val="0"/>
        <w:bidi w:val="0"/>
        <w:adjustRightInd/>
        <w:snapToGrid/>
        <w:spacing w:line="360" w:lineRule="auto"/>
        <w:ind w:left="0" w:leftChars="0"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（二）施工要求:</w:t>
      </w:r>
    </w:p>
    <w:p w14:paraId="0E666AE3">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1、施工前准备</w:t>
      </w:r>
    </w:p>
    <w:p w14:paraId="013E328B">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升降柱的安装及施工由中标方提供施工图纸及设备图纸，整个施工过程需要仔细查阅现有管路的情况以避免因开挖造成现有管道的损坏，如施工过程中造成现有管道损坏的，中标方需无条件恢复原状。路面开挖施工前涉及城管备案的由中标方负责。需提前在施工图纸上绘出需要施工的位置，路线和深度，并通过有效的测试加以保障。</w:t>
      </w:r>
    </w:p>
    <w:p w14:paraId="01A41FD5">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2、实施施工要求</w:t>
      </w:r>
    </w:p>
    <w:p w14:paraId="4212F795">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1)放线、切割。根据施工图纸尺寸，画好线条后，使用切割机将路面切开。</w:t>
      </w:r>
      <w:r>
        <w:rPr>
          <w:rFonts w:hint="eastAsia" w:ascii="宋体" w:hAnsi="宋体" w:eastAsia="宋体" w:cs="宋体"/>
          <w:sz w:val="21"/>
          <w:szCs w:val="21"/>
          <w:highlight w:val="none"/>
          <w:lang w:val="en-US" w:eastAsia="zh-CN"/>
        </w:rPr>
        <w:tab/>
      </w:r>
    </w:p>
    <w:p w14:paraId="14260790">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2)开挖、夯实。根据施工图纸，使用挖掘机或者人工开挖设计尺寸，并夯实。</w:t>
      </w:r>
    </w:p>
    <w:p w14:paraId="49A9059A">
      <w:pPr>
        <w:pageBreakBefore w:val="0"/>
        <w:widowControl w:val="0"/>
        <w:wordWrap/>
        <w:overflowPunct/>
        <w:topLinePunct w:val="0"/>
        <w:bidi w:val="0"/>
        <w:spacing w:line="360" w:lineRule="auto"/>
        <w:ind w:left="0" w:leftChars="0" w:firstLine="420" w:firstLineChars="200"/>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3）制作垫层。使用C25混凝土(250mm厚，长6000mm,宽800mm,1层钢筋结构)</w:t>
      </w:r>
    </w:p>
    <w:p w14:paraId="1A4A35A1">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制作排水系统。铺设排水管道，引至下水道或排水井，注意设置15°坡度，在升降柱安置点位置设置三通，并使用砖块和混凝土制作基座，要求基座表面至地面距离大于升降柱外筒高度2公分，以方便调节升降柱水平。</w:t>
      </w:r>
    </w:p>
    <w:p w14:paraId="33C942BF">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5)放置升降柱。将升降柱底部排水口与三通接口对齐放置，注意调节升降柱位置，保持升降柱垂直、法兰面与地平面平齐，并与其它升降柱处在同一条直线上。</w:t>
      </w:r>
    </w:p>
    <w:p w14:paraId="796E0FA3">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6)固定升降柱。将升降柱固定，并确保升降柱的正确位置，待其凝固后，混凝土浇筑至合适位置。</w:t>
      </w:r>
    </w:p>
    <w:p w14:paraId="7006B3B4">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7)连接管线。接驳各种管线至控制柜。</w:t>
      </w:r>
    </w:p>
    <w:p w14:paraId="1EC65F09">
      <w:pPr>
        <w:pageBreakBefore w:val="0"/>
        <w:widowControl w:val="0"/>
        <w:wordWrap/>
        <w:overflowPunct/>
        <w:topLinePunct w:val="0"/>
        <w:bidi w:val="0"/>
        <w:spacing w:line="360" w:lineRule="auto"/>
        <w:ind w:left="0" w:leftChars="0" w:firstLine="420" w:firstLineChars="200"/>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8)回填。使用C30混凝土。</w:t>
      </w:r>
    </w:p>
    <w:p w14:paraId="0827D195">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9)路面恢复处理。北门、南门：</w:t>
      </w:r>
      <w:r>
        <w:rPr>
          <w:rFonts w:hint="eastAsia" w:ascii="宋体" w:hAnsi="宋体" w:eastAsia="宋体" w:cs="宋体"/>
          <w:b w:val="0"/>
          <w:bCs w:val="0"/>
          <w:kern w:val="2"/>
          <w:sz w:val="21"/>
          <w:szCs w:val="21"/>
          <w:highlight w:val="none"/>
          <w:lang w:val="en-US" w:eastAsia="zh-CN" w:bidi="ar-SA"/>
        </w:rPr>
        <w:t>使用沥青</w:t>
      </w:r>
      <w:r>
        <w:rPr>
          <w:rFonts w:hint="eastAsia" w:ascii="宋体" w:hAnsi="宋体" w:eastAsia="宋体" w:cs="宋体"/>
          <w:sz w:val="21"/>
          <w:szCs w:val="21"/>
          <w:highlight w:val="none"/>
          <w:lang w:val="en-US" w:eastAsia="zh-CN"/>
        </w:rPr>
        <w:t>浇筑至路面合适距离和高度，做到路面平整，不积水，不渗水。</w:t>
      </w:r>
    </w:p>
    <w:p w14:paraId="3C520610">
      <w:pPr>
        <w:keepNext/>
        <w:keepLines/>
        <w:pageBreakBefore w:val="0"/>
        <w:widowControl w:val="0"/>
        <w:kinsoku/>
        <w:wordWrap/>
        <w:overflowPunct/>
        <w:topLinePunct w:val="0"/>
        <w:bidi w:val="0"/>
        <w:adjustRightInd/>
        <w:snapToGrid/>
        <w:spacing w:after="0" w:line="360" w:lineRule="auto"/>
        <w:ind w:left="0" w:leftChars="0" w:firstLine="422" w:firstLineChars="200"/>
        <w:jc w:val="both"/>
        <w:outlineLvl w:val="3"/>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三、商务要求</w:t>
      </w:r>
    </w:p>
    <w:p w14:paraId="376254B3">
      <w:pPr>
        <w:pageBreakBefore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b/>
          <w:bCs/>
          <w:color w:val="00000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一</w:t>
      </w:r>
      <w:r>
        <w:rPr>
          <w:rFonts w:hint="eastAsia" w:ascii="宋体" w:hAnsi="宋体" w:eastAsia="宋体" w:cs="宋体"/>
          <w:b w:val="0"/>
          <w:bCs w:val="0"/>
          <w:sz w:val="21"/>
          <w:szCs w:val="21"/>
          <w:highlight w:val="none"/>
        </w:rPr>
        <w:t>）基本</w:t>
      </w:r>
      <w:r>
        <w:rPr>
          <w:rFonts w:hint="eastAsia" w:ascii="宋体" w:hAnsi="宋体" w:eastAsia="宋体" w:cs="宋体"/>
          <w:b w:val="0"/>
          <w:bCs w:val="0"/>
          <w:color w:val="000000"/>
          <w:sz w:val="21"/>
          <w:szCs w:val="21"/>
          <w:highlight w:val="none"/>
        </w:rPr>
        <w:t>要求</w:t>
      </w:r>
    </w:p>
    <w:p w14:paraId="25918DAE">
      <w:pPr>
        <w:pageBreakBefore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合同履行期限</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自合同签订之日起十五个工作日内完成。</w:t>
      </w:r>
    </w:p>
    <w:p w14:paraId="3614EFCA">
      <w:pPr>
        <w:pageBreakBefore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2.交货方式：</w:t>
      </w:r>
      <w:r>
        <w:rPr>
          <w:rFonts w:hint="eastAsia" w:ascii="宋体" w:hAnsi="宋体" w:eastAsia="宋体" w:cs="宋体"/>
          <w:sz w:val="21"/>
          <w:szCs w:val="21"/>
          <w:highlight w:val="none"/>
          <w:lang w:val="en-US" w:eastAsia="zh-CN"/>
        </w:rPr>
        <w:t>现场交货</w:t>
      </w:r>
    </w:p>
    <w:p w14:paraId="656BB75D">
      <w:pPr>
        <w:pageBreakBefore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3.交货地点：</w:t>
      </w:r>
      <w:r>
        <w:rPr>
          <w:rFonts w:hint="eastAsia" w:ascii="宋体" w:hAnsi="宋体" w:eastAsia="宋体" w:cs="宋体"/>
          <w:color w:val="auto"/>
          <w:sz w:val="21"/>
          <w:szCs w:val="21"/>
          <w:highlight w:val="none"/>
          <w:lang w:val="en-US" w:eastAsia="zh-CN"/>
        </w:rPr>
        <w:t>广东省广州市白云区石井石潭路376号</w:t>
      </w:r>
    </w:p>
    <w:p w14:paraId="63AB2E9C">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二</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eastAsia="zh-CN"/>
        </w:rPr>
        <w:t>货物质量要求</w:t>
      </w:r>
    </w:p>
    <w:p w14:paraId="429312D7">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1.货物为原制造商制造的全新产品，</w:t>
      </w:r>
      <w:r>
        <w:rPr>
          <w:rFonts w:hint="eastAsia" w:ascii="宋体" w:hAnsi="宋体" w:eastAsia="宋体" w:cs="宋体"/>
          <w:sz w:val="21"/>
          <w:szCs w:val="21"/>
          <w:highlight w:val="none"/>
          <w:lang w:val="en-US" w:eastAsia="zh-CN"/>
        </w:rPr>
        <w:t>整体</w:t>
      </w:r>
      <w:r>
        <w:rPr>
          <w:rFonts w:hint="eastAsia" w:ascii="宋体" w:hAnsi="宋体" w:eastAsia="宋体" w:cs="宋体"/>
          <w:sz w:val="21"/>
          <w:szCs w:val="21"/>
          <w:highlight w:val="none"/>
        </w:rPr>
        <w:t>无污染，无侵权行为、表面无划损、无任何缺陷隐患，所有产品必须是在中国范围内合法销售，厂商原装、全新的产品，符合国家及该产品的出厂标准、安全标准及环保标准，并完全符合采购人要求。如因货物的质量问题造成事故的，</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 xml:space="preserve">须对此承担责任。  </w:t>
      </w:r>
    </w:p>
    <w:p w14:paraId="42386DDB">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2.货物为原厂商未启封全新包装，具出厂合格证，序列号、包装箱号与出厂批号一致，并可追索查阅。</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外观清洁，标记编号以及盘面显示等</w:t>
      </w:r>
      <w:r>
        <w:rPr>
          <w:rFonts w:hint="eastAsia" w:ascii="宋体" w:hAnsi="宋体" w:eastAsia="宋体" w:cs="宋体"/>
          <w:sz w:val="21"/>
          <w:szCs w:val="21"/>
          <w:highlight w:val="none"/>
          <w:lang w:val="en-US" w:eastAsia="zh-CN"/>
        </w:rPr>
        <w:t>信息</w:t>
      </w:r>
      <w:r>
        <w:rPr>
          <w:rFonts w:hint="eastAsia" w:ascii="宋体" w:hAnsi="宋体" w:eastAsia="宋体" w:cs="宋体"/>
          <w:sz w:val="21"/>
          <w:szCs w:val="21"/>
          <w:highlight w:val="none"/>
        </w:rPr>
        <w:t xml:space="preserve">字体清晰，明确。所有产品、设备提供出厂合格证等质量证明文件。  </w:t>
      </w:r>
    </w:p>
    <w:p w14:paraId="6BB6CE1D">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的用户手册、保修手册、有关单证资料及配备件、随机工具等，使用操作及安全须知等重要资料应附有中文说明。对于影响</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 xml:space="preserve">正常工作的必要组成部分，无论在技术规范中指出与否，投标人都应提供在投标文件中明确列出。  </w:t>
      </w:r>
    </w:p>
    <w:p w14:paraId="75B7D2F8">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4.提供的产品不侵犯任何第三方的专利、商标或版权。否则，</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须承担对第三方的专利或版权的侵权责任并承担因此而发生的所有费用。</w:t>
      </w:r>
    </w:p>
    <w:p w14:paraId="238A2F9B">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三</w:t>
      </w:r>
      <w:r>
        <w:rPr>
          <w:rFonts w:hint="eastAsia" w:ascii="宋体" w:hAnsi="宋体" w:eastAsia="宋体" w:cs="宋体"/>
          <w:b w:val="0"/>
          <w:bCs w:val="0"/>
          <w:sz w:val="21"/>
          <w:szCs w:val="21"/>
          <w:highlight w:val="none"/>
        </w:rPr>
        <w:t>）包装、保险及发运、保管要求</w:t>
      </w:r>
    </w:p>
    <w:p w14:paraId="743B7142">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1.货物材料的包装必须是制造商原厂包装，其包装均应有良好的防湿、防锈、防潮、防雨、防腐及防碰撞的措施。</w:t>
      </w:r>
      <w:r>
        <w:rPr>
          <w:rFonts w:hint="eastAsia" w:ascii="宋体" w:hAnsi="宋体" w:eastAsia="宋体" w:cs="宋体"/>
          <w:sz w:val="21"/>
          <w:szCs w:val="21"/>
          <w:highlight w:val="none"/>
          <w:lang w:val="en-US" w:eastAsia="zh-CN"/>
        </w:rPr>
        <w:t>如装箱的</w:t>
      </w:r>
      <w:r>
        <w:rPr>
          <w:rFonts w:hint="eastAsia" w:ascii="宋体" w:hAnsi="宋体" w:eastAsia="宋体" w:cs="宋体"/>
          <w:sz w:val="21"/>
          <w:szCs w:val="21"/>
          <w:highlight w:val="none"/>
        </w:rPr>
        <w:t xml:space="preserve">必须提供装箱清单，按装箱清单验收货物。 </w:t>
      </w:r>
    </w:p>
    <w:p w14:paraId="48D46AE6">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负责将货物材料全部运输，包括</w:t>
      </w:r>
      <w:r>
        <w:rPr>
          <w:rFonts w:hint="eastAsia" w:ascii="宋体" w:hAnsi="宋体" w:eastAsia="宋体" w:cs="宋体"/>
          <w:sz w:val="21"/>
          <w:szCs w:val="21"/>
          <w:highlight w:val="none"/>
          <w:lang w:val="en-US" w:eastAsia="zh-CN"/>
        </w:rPr>
        <w:t>货物材料</w:t>
      </w:r>
      <w:r>
        <w:rPr>
          <w:rFonts w:hint="eastAsia" w:ascii="宋体" w:hAnsi="宋体" w:eastAsia="宋体" w:cs="宋体"/>
          <w:sz w:val="21"/>
          <w:szCs w:val="21"/>
          <w:highlight w:val="none"/>
        </w:rPr>
        <w:t>装卸车、货物现场的搬运</w:t>
      </w:r>
      <w:r>
        <w:rPr>
          <w:rFonts w:hint="eastAsia" w:ascii="宋体" w:hAnsi="宋体" w:eastAsia="宋体" w:cs="宋体"/>
          <w:sz w:val="21"/>
          <w:szCs w:val="21"/>
          <w:highlight w:val="none"/>
          <w:lang w:val="en-US" w:eastAsia="zh-CN"/>
        </w:rPr>
        <w:t>等，具体搬运摆放按现场采购人要求执行</w:t>
      </w:r>
      <w:r>
        <w:rPr>
          <w:rFonts w:hint="eastAsia" w:ascii="宋体" w:hAnsi="宋体" w:eastAsia="宋体" w:cs="宋体"/>
          <w:sz w:val="21"/>
          <w:szCs w:val="21"/>
          <w:highlight w:val="none"/>
        </w:rPr>
        <w:t xml:space="preserve">。    </w:t>
      </w:r>
    </w:p>
    <w:p w14:paraId="3689E8A4">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.货物在现场的保管由</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 xml:space="preserve">负责，直至项目安装、验收完毕。  </w:t>
      </w:r>
    </w:p>
    <w:p w14:paraId="58BD1537">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.货物在系统安装调试验收合格前的保险由</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 xml:space="preserve">负责其派出的现场服务人员人身意外保险。  </w:t>
      </w:r>
    </w:p>
    <w:p w14:paraId="5B14E4BB">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至采购人指定的使用现场的包装、保险及发运等环节和费用均由</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负责。</w:t>
      </w:r>
      <w:r>
        <w:rPr>
          <w:rFonts w:hint="eastAsia" w:ascii="宋体" w:hAnsi="宋体" w:eastAsia="宋体" w:cs="宋体"/>
          <w:sz w:val="21"/>
          <w:szCs w:val="21"/>
          <w:lang w:eastAsia="zh-CN"/>
        </w:rPr>
        <w:t>中标方</w:t>
      </w:r>
      <w:r>
        <w:rPr>
          <w:rFonts w:hint="eastAsia" w:ascii="宋体" w:hAnsi="宋体" w:eastAsia="宋体" w:cs="宋体"/>
          <w:sz w:val="21"/>
          <w:szCs w:val="21"/>
        </w:rPr>
        <w:t>因配送过程中发生任何人身财产损失以及全部致他人侵权的行为，由</w:t>
      </w:r>
      <w:r>
        <w:rPr>
          <w:rFonts w:hint="eastAsia" w:ascii="宋体" w:hAnsi="宋体" w:eastAsia="宋体" w:cs="宋体"/>
          <w:sz w:val="21"/>
          <w:szCs w:val="21"/>
          <w:lang w:eastAsia="zh-CN"/>
        </w:rPr>
        <w:t>中标方</w:t>
      </w:r>
      <w:r>
        <w:rPr>
          <w:rFonts w:hint="eastAsia" w:ascii="宋体" w:hAnsi="宋体" w:eastAsia="宋体" w:cs="宋体"/>
          <w:sz w:val="21"/>
          <w:szCs w:val="21"/>
        </w:rPr>
        <w:t>负责承担全部法律责任。</w:t>
      </w:r>
    </w:p>
    <w:p w14:paraId="6F353F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四</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验收要求</w:t>
      </w:r>
    </w:p>
    <w:p w14:paraId="55B6AE4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b w:val="0"/>
          <w:kern w:val="2"/>
          <w:sz w:val="21"/>
          <w:szCs w:val="21"/>
          <w:highlight w:val="none"/>
          <w:lang w:val="en-US" w:eastAsia="zh-CN" w:bidi="ar-SA"/>
        </w:rPr>
        <w:t>中标方必须依照招标文件的要求和投标文件的承诺，将产品（或设备、系统）安装并调试至正常运行的最佳状态。</w:t>
      </w:r>
    </w:p>
    <w:p w14:paraId="617E40A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2.交付验收标准依次序对照适用标准为：</w:t>
      </w:r>
    </w:p>
    <w:p w14:paraId="4AAEDF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①符合中华人民共和国国家安全质量标准、环保标准或行业标准；</w:t>
      </w:r>
    </w:p>
    <w:p w14:paraId="6269FDD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②符合招标文件和投标承诺中采购人认可的合理最佳配置、参数及各项要求；</w:t>
      </w:r>
    </w:p>
    <w:p w14:paraId="342326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③货物来源国官方标准。</w:t>
      </w:r>
    </w:p>
    <w:p w14:paraId="4A618CB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3.货物为原厂商未启封全新包装，具出厂合格证，序列号、包装箱号与出厂批号一致，并可追索查阅。所有随设备的附件必须齐全.</w:t>
      </w:r>
    </w:p>
    <w:p w14:paraId="3640C3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4.中标方应将关键主机设备的用户手册、保修手册、有关单证资料及配备件、随机工具等交付给采购人，使用操作及安全须知等重要资料应附有中文说明；</w:t>
      </w:r>
    </w:p>
    <w:p w14:paraId="2F224AA2">
      <w:pPr>
        <w:pageBreakBefore w:val="0"/>
        <w:widowControl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方承担。</w:t>
      </w:r>
    </w:p>
    <w:p w14:paraId="1F8B6F25">
      <w:pPr>
        <w:pageBreakBefore w:val="0"/>
        <w:kinsoku/>
        <w:wordWrap/>
        <w:overflowPunct/>
        <w:topLinePunct w:val="0"/>
        <w:bidi w:val="0"/>
        <w:adjustRightInd/>
        <w:snapToGrid/>
        <w:spacing w:line="360" w:lineRule="auto"/>
        <w:ind w:left="0" w:leftChars="0"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五</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质保期及售后服务要求</w:t>
      </w:r>
    </w:p>
    <w:p w14:paraId="17912372">
      <w:pPr>
        <w:pageBreakBefore w:val="0"/>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1.质量保证期（简称“质保期”）为设备自交付验收合格之日起</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年，质保期内</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对所提供设备实行包</w:t>
      </w:r>
      <w:r>
        <w:rPr>
          <w:rFonts w:hint="eastAsia" w:ascii="宋体" w:hAnsi="宋体" w:eastAsia="宋体" w:cs="宋体"/>
          <w:sz w:val="21"/>
          <w:szCs w:val="21"/>
          <w:highlight w:val="none"/>
          <w:lang w:eastAsia="zh-CN"/>
        </w:rPr>
        <w:t>维</w:t>
      </w:r>
      <w:r>
        <w:rPr>
          <w:rFonts w:hint="eastAsia" w:ascii="宋体" w:hAnsi="宋体" w:eastAsia="宋体" w:cs="宋体"/>
          <w:sz w:val="21"/>
          <w:szCs w:val="21"/>
          <w:highlight w:val="none"/>
        </w:rPr>
        <w:t>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包换</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rPr>
        <w:t>免费更换损坏零部件</w:t>
      </w:r>
      <w:r>
        <w:rPr>
          <w:rFonts w:hint="eastAsia" w:ascii="宋体" w:hAnsi="宋体" w:eastAsia="宋体" w:cs="宋体"/>
          <w:sz w:val="21"/>
          <w:szCs w:val="21"/>
          <w:highlight w:val="none"/>
        </w:rPr>
        <w:t>、</w:t>
      </w:r>
      <w:r>
        <w:rPr>
          <w:rFonts w:hint="eastAsia" w:ascii="宋体" w:hAnsi="宋体" w:eastAsia="宋体" w:cs="宋体"/>
          <w:sz w:val="21"/>
          <w:szCs w:val="21"/>
        </w:rPr>
        <w:t>免费维修</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）、包</w:t>
      </w:r>
      <w:r>
        <w:rPr>
          <w:rFonts w:hint="eastAsia" w:ascii="宋体" w:hAnsi="宋体" w:eastAsia="宋体" w:cs="宋体"/>
          <w:sz w:val="21"/>
          <w:szCs w:val="21"/>
          <w:highlight w:val="none"/>
        </w:rPr>
        <w:t>保养以及软件终身免费升级，</w:t>
      </w:r>
      <w:r>
        <w:rPr>
          <w:rFonts w:hint="eastAsia" w:ascii="宋体" w:hAnsi="宋体" w:eastAsia="宋体" w:cs="宋体"/>
          <w:sz w:val="21"/>
          <w:szCs w:val="21"/>
          <w:highlight w:val="none"/>
          <w:lang w:eastAsia="zh-CN"/>
        </w:rPr>
        <w:t>包括但不限于免费更换零部件、人工费等一切费用，采购人不再支付任何费用，</w:t>
      </w:r>
      <w:r>
        <w:rPr>
          <w:rFonts w:hint="eastAsia" w:ascii="宋体" w:hAnsi="宋体" w:eastAsia="宋体" w:cs="宋体"/>
          <w:sz w:val="21"/>
          <w:szCs w:val="21"/>
          <w:highlight w:val="none"/>
        </w:rPr>
        <w:t>期满后可同时提供终身有偿维修保养服务</w:t>
      </w:r>
      <w:r>
        <w:rPr>
          <w:rFonts w:hint="eastAsia" w:ascii="宋体" w:hAnsi="宋体" w:eastAsia="宋体" w:cs="宋体"/>
          <w:sz w:val="21"/>
          <w:szCs w:val="21"/>
          <w:highlight w:val="none"/>
          <w:lang w:eastAsia="zh-CN"/>
        </w:rPr>
        <w:t>方案。</w:t>
      </w:r>
    </w:p>
    <w:p w14:paraId="3B717FA7">
      <w:pPr>
        <w:pageBreakBefore w:val="0"/>
        <w:kinsoku/>
        <w:wordWrap/>
        <w:overflowPunct/>
        <w:topLinePunct w:val="0"/>
        <w:bidi w:val="0"/>
        <w:adjustRightInd/>
        <w:snapToGrid/>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质保期内</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提供上门免费服务，</w:t>
      </w:r>
      <w:r>
        <w:rPr>
          <w:rFonts w:hint="eastAsia" w:ascii="宋体" w:hAnsi="宋体" w:eastAsia="宋体" w:cs="宋体"/>
          <w:sz w:val="21"/>
          <w:szCs w:val="21"/>
          <w:highlight w:val="none"/>
          <w:lang w:val="en-US" w:eastAsia="zh-CN"/>
        </w:rPr>
        <w:t>并安排专门的联络人及电话，</w:t>
      </w:r>
      <w:r>
        <w:rPr>
          <w:rFonts w:hint="eastAsia" w:ascii="宋体" w:hAnsi="宋体" w:eastAsia="宋体" w:cs="宋体"/>
          <w:sz w:val="21"/>
          <w:szCs w:val="21"/>
          <w:highlight w:val="none"/>
        </w:rPr>
        <w:t>对采购人的服务通知，</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在接报后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小时内响应，</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小时内到达现场，</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小时</w:t>
      </w:r>
      <w:r>
        <w:rPr>
          <w:rFonts w:hint="eastAsia" w:ascii="宋体" w:hAnsi="宋体" w:eastAsia="宋体" w:cs="宋体"/>
          <w:sz w:val="21"/>
          <w:szCs w:val="21"/>
          <w:highlight w:val="none"/>
          <w:lang w:eastAsia="zh-CN"/>
        </w:rPr>
        <w:t>内</w:t>
      </w:r>
      <w:r>
        <w:rPr>
          <w:rFonts w:hint="eastAsia" w:ascii="宋体" w:hAnsi="宋体" w:eastAsia="宋体" w:cs="宋体"/>
          <w:sz w:val="21"/>
          <w:szCs w:val="21"/>
          <w:highlight w:val="none"/>
        </w:rPr>
        <w:t>服务工程师处理完毕</w:t>
      </w:r>
      <w:r>
        <w:rPr>
          <w:rFonts w:hint="eastAsia" w:ascii="宋体" w:hAnsi="宋体" w:eastAsia="宋体" w:cs="宋体"/>
          <w:sz w:val="21"/>
          <w:szCs w:val="21"/>
          <w:highlight w:val="none"/>
          <w:lang w:eastAsia="zh-CN"/>
        </w:rPr>
        <w:t>，若要更换零配件的，时间可适当延后。</w:t>
      </w:r>
      <w:r>
        <w:rPr>
          <w:rFonts w:hint="eastAsia" w:ascii="宋体" w:hAnsi="宋体" w:eastAsia="宋体" w:cs="宋体"/>
          <w:sz w:val="21"/>
          <w:szCs w:val="21"/>
          <w:highlight w:val="none"/>
        </w:rPr>
        <w:t>若在</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小时内仍未能有效解决，双方协商解决，不得影响采购人的正常工作业务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质保期内</w:t>
      </w:r>
      <w:r>
        <w:rPr>
          <w:rFonts w:hint="eastAsia" w:ascii="宋体" w:hAnsi="宋体" w:eastAsia="宋体" w:cs="宋体"/>
          <w:sz w:val="21"/>
          <w:szCs w:val="21"/>
          <w:highlight w:val="none"/>
        </w:rPr>
        <w:t>上门保修</w:t>
      </w:r>
      <w:r>
        <w:rPr>
          <w:rFonts w:hint="eastAsia" w:ascii="宋体" w:hAnsi="宋体" w:eastAsia="宋体" w:cs="宋体"/>
          <w:sz w:val="21"/>
          <w:szCs w:val="21"/>
          <w:highlight w:val="none"/>
          <w:lang w:val="en-US" w:eastAsia="zh-CN"/>
        </w:rPr>
        <w:t>期间</w:t>
      </w:r>
      <w:r>
        <w:rPr>
          <w:rFonts w:hint="eastAsia" w:ascii="宋体" w:hAnsi="宋体" w:eastAsia="宋体" w:cs="宋体"/>
          <w:sz w:val="21"/>
          <w:szCs w:val="21"/>
          <w:highlight w:val="none"/>
        </w:rPr>
        <w:t>产生的费用</w:t>
      </w:r>
      <w:r>
        <w:rPr>
          <w:rFonts w:hint="eastAsia" w:ascii="宋体" w:hAnsi="宋体" w:eastAsia="宋体" w:cs="宋体"/>
          <w:sz w:val="21"/>
          <w:szCs w:val="21"/>
          <w:highlight w:val="none"/>
          <w:lang w:eastAsia="zh-CN"/>
        </w:rPr>
        <w:t>、</w:t>
      </w:r>
      <w:r>
        <w:rPr>
          <w:rFonts w:hint="eastAsia" w:ascii="宋体" w:hAnsi="宋体" w:eastAsia="宋体" w:cs="宋体"/>
          <w:sz w:val="21"/>
          <w:szCs w:val="21"/>
        </w:rPr>
        <w:t>发生任何人身财产损失以及全部致他人侵权的行为，</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eastAsia="zh-CN"/>
        </w:rPr>
        <w:t>中标方</w:t>
      </w:r>
      <w:r>
        <w:rPr>
          <w:rFonts w:hint="eastAsia" w:ascii="宋体" w:hAnsi="宋体" w:eastAsia="宋体" w:cs="宋体"/>
          <w:sz w:val="21"/>
          <w:szCs w:val="21"/>
          <w:highlight w:val="none"/>
        </w:rPr>
        <w:t>承担</w:t>
      </w:r>
      <w:r>
        <w:rPr>
          <w:rFonts w:hint="eastAsia" w:ascii="宋体" w:hAnsi="宋体" w:eastAsia="宋体" w:cs="宋体"/>
          <w:sz w:val="21"/>
          <w:szCs w:val="21"/>
          <w:highlight w:val="none"/>
          <w:lang w:eastAsia="zh-CN"/>
        </w:rPr>
        <w:t>。</w:t>
      </w:r>
    </w:p>
    <w:p w14:paraId="058EF1F7">
      <w:pPr>
        <w:pageBreakBefore w:val="0"/>
        <w:kinsoku/>
        <w:wordWrap/>
        <w:overflowPunct/>
        <w:topLinePunct w:val="0"/>
        <w:bidi w:val="0"/>
        <w:adjustRightInd/>
        <w:snapToGrid/>
        <w:spacing w:line="360" w:lineRule="auto"/>
        <w:ind w:left="0" w:leftChars="0" w:firstLine="444" w:firstLineChars="200"/>
        <w:rPr>
          <w:rFonts w:hint="eastAsia" w:ascii="宋体" w:hAnsi="宋体" w:eastAsia="宋体" w:cs="宋体"/>
          <w:sz w:val="21"/>
          <w:szCs w:val="21"/>
          <w:highlight w:val="none"/>
          <w:lang w:val="en-US" w:eastAsia="zh-CN"/>
        </w:rPr>
      </w:pPr>
      <w:r>
        <w:rPr>
          <w:rFonts w:hint="eastAsia" w:ascii="宋体" w:hAnsi="宋体" w:eastAsia="宋体" w:cs="宋体"/>
          <w:color w:val="000000"/>
          <w:spacing w:val="6"/>
          <w:sz w:val="21"/>
          <w:szCs w:val="21"/>
          <w:highlight w:val="none"/>
          <w:lang w:val="en-US" w:eastAsia="zh-CN"/>
        </w:rPr>
        <w:t>3.</w:t>
      </w:r>
      <w:r>
        <w:rPr>
          <w:rFonts w:hint="eastAsia" w:ascii="宋体" w:hAnsi="宋体" w:eastAsia="宋体" w:cs="宋体"/>
          <w:color w:val="000000"/>
          <w:sz w:val="21"/>
          <w:szCs w:val="21"/>
          <w:highlight w:val="none"/>
          <w:lang w:val="en-US" w:eastAsia="zh-CN"/>
        </w:rPr>
        <w:t>中标方</w:t>
      </w:r>
      <w:r>
        <w:rPr>
          <w:rFonts w:hint="eastAsia" w:ascii="宋体" w:hAnsi="宋体" w:eastAsia="宋体" w:cs="宋体"/>
          <w:color w:val="000000"/>
          <w:spacing w:val="6"/>
          <w:sz w:val="21"/>
          <w:szCs w:val="21"/>
          <w:highlight w:val="none"/>
        </w:rPr>
        <w:t>负责向采购人提供现场必要的维护保养培训</w:t>
      </w:r>
      <w:r>
        <w:rPr>
          <w:rFonts w:hint="eastAsia" w:ascii="宋体" w:hAnsi="宋体" w:eastAsia="宋体" w:cs="宋体"/>
          <w:color w:val="000000"/>
          <w:spacing w:val="6"/>
          <w:sz w:val="21"/>
          <w:szCs w:val="21"/>
          <w:highlight w:val="none"/>
          <w:lang w:eastAsia="zh-CN"/>
        </w:rPr>
        <w:t>。</w:t>
      </w:r>
    </w:p>
    <w:p w14:paraId="733D75AE">
      <w:pPr>
        <w:pageBreakBefore w:val="0"/>
        <w:numPr>
          <w:ilvl w:val="0"/>
          <w:numId w:val="0"/>
        </w:numPr>
        <w:kinsoku/>
        <w:wordWrap/>
        <w:overflowPunct/>
        <w:topLinePunct w:val="0"/>
        <w:bidi w:val="0"/>
        <w:adjustRightInd/>
        <w:snapToGrid/>
        <w:spacing w:line="360" w:lineRule="auto"/>
        <w:ind w:left="0" w:leftChars="0"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六</w:t>
      </w:r>
      <w:r>
        <w:rPr>
          <w:rFonts w:hint="eastAsia" w:ascii="宋体" w:hAnsi="宋体" w:eastAsia="宋体" w:cs="宋体"/>
          <w:b w:val="0"/>
          <w:bCs w:val="0"/>
          <w:sz w:val="21"/>
          <w:szCs w:val="21"/>
          <w:highlight w:val="none"/>
        </w:rPr>
        <w:t>）其他</w:t>
      </w:r>
      <w:r>
        <w:rPr>
          <w:rFonts w:hint="eastAsia" w:ascii="宋体" w:hAnsi="宋体" w:eastAsia="宋体" w:cs="宋体"/>
          <w:b w:val="0"/>
          <w:bCs w:val="0"/>
          <w:sz w:val="21"/>
          <w:szCs w:val="21"/>
          <w:highlight w:val="none"/>
          <w:lang w:val="en-US" w:eastAsia="zh-CN"/>
        </w:rPr>
        <w:t>要求</w:t>
      </w:r>
    </w:p>
    <w:p w14:paraId="2D477A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中标方需承担合同履行时所要尽的一切保密义务。对项目实施过程中的资料、数据及采购人相关工作秘密进行保密，未经采购人书面同意不得泄露，且保密责任不因合同的中止或解除而失效。如因中标方及项目相关人员涉密对采购人造成影响，采购人有权追究责任。</w:t>
      </w:r>
    </w:p>
    <w:p w14:paraId="34447231">
      <w:pPr>
        <w:keepNext w:val="0"/>
        <w:keepLines w:val="0"/>
        <w:pageBreakBefore w:val="0"/>
        <w:widowControl w:val="0"/>
        <w:tabs>
          <w:tab w:val="left" w:pos="425"/>
        </w:tabs>
        <w:kinsoku/>
        <w:wordWrap/>
        <w:overflowPunct/>
        <w:topLinePunct w:val="0"/>
        <w:autoSpaceDE w:val="0"/>
        <w:autoSpaceDN w:val="0"/>
        <w:bidi w:val="0"/>
        <w:adjustRightInd w:val="0"/>
        <w:snapToGrid w:val="0"/>
        <w:spacing w:line="360" w:lineRule="auto"/>
        <w:ind w:left="0" w:leftChars="0" w:firstLine="0" w:firstLineChars="0"/>
        <w:textAlignment w:val="auto"/>
        <w:rPr>
          <w:rFonts w:ascii="Calibri" w:hAnsi="Calibri" w:eastAsia="宋体" w:cs="Times New Roman"/>
          <w:kern w:val="0"/>
          <w:sz w:val="21"/>
          <w:szCs w:val="24"/>
          <w:lang w:val="en-US" w:eastAsia="zh-CN" w:bidi="ar-SA"/>
        </w:rPr>
      </w:pPr>
      <w:r>
        <w:rPr>
          <w:rFonts w:hint="eastAsia" w:ascii="宋体" w:hAnsi="宋体" w:eastAsia="宋体" w:cs="宋体"/>
          <w:color w:val="auto"/>
          <w:kern w:val="2"/>
          <w:sz w:val="21"/>
          <w:szCs w:val="21"/>
          <w:highlight w:val="none"/>
          <w:lang w:val="en-US" w:eastAsia="zh-CN" w:bidi="ar-SA"/>
        </w:rPr>
        <w:t>2.其余未尽事项由采购人和中标方另行商定补充。</w:t>
      </w:r>
    </w:p>
    <w:p w14:paraId="30E544F2">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sz w:val="21"/>
          <w:szCs w:val="21"/>
          <w:highlight w:val="none"/>
        </w:rPr>
      </w:pPr>
      <w:r>
        <w:rPr>
          <w:rFonts w:hint="eastAsia" w:ascii="宋体" w:hAnsi="宋体"/>
          <w:b/>
          <w:szCs w:val="21"/>
          <w:lang w:val="en-US" w:eastAsia="zh-CN"/>
        </w:rPr>
        <w:t>四</w:t>
      </w:r>
      <w:r>
        <w:rPr>
          <w:rFonts w:hint="eastAsia" w:ascii="宋体" w:hAnsi="宋体"/>
          <w:b/>
          <w:szCs w:val="21"/>
        </w:rPr>
        <w:t>、付款方式</w:t>
      </w:r>
    </w:p>
    <w:p w14:paraId="26D21DD3">
      <w:pPr>
        <w:pageBreakBefore w:val="0"/>
        <w:widowControl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bidi="ar-SA"/>
        </w:rPr>
        <w:t>1.银行转账方式，</w:t>
      </w:r>
      <w:r>
        <w:rPr>
          <w:rFonts w:hint="eastAsia" w:ascii="宋体" w:hAnsi="宋体" w:eastAsia="宋体" w:cs="宋体"/>
          <w:color w:val="000000"/>
          <w:kern w:val="2"/>
          <w:sz w:val="21"/>
          <w:szCs w:val="21"/>
          <w:highlight w:val="none"/>
          <w:lang w:val="zh-CN" w:eastAsia="zh-CN" w:bidi="ar-SA"/>
        </w:rPr>
        <w:t>项目验收合格后30日内支付合同金额的</w:t>
      </w:r>
      <w:r>
        <w:rPr>
          <w:rFonts w:hint="eastAsia" w:ascii="宋体" w:hAnsi="宋体" w:eastAsia="宋体" w:cs="宋体"/>
          <w:color w:val="000000"/>
          <w:kern w:val="2"/>
          <w:sz w:val="21"/>
          <w:szCs w:val="21"/>
          <w:highlight w:val="none"/>
          <w:lang w:val="en-US" w:eastAsia="zh-CN" w:bidi="ar-SA"/>
        </w:rPr>
        <w:t>100</w:t>
      </w:r>
      <w:r>
        <w:rPr>
          <w:rFonts w:hint="eastAsia" w:ascii="宋体" w:hAnsi="宋体" w:eastAsia="宋体" w:cs="宋体"/>
          <w:color w:val="000000"/>
          <w:kern w:val="2"/>
          <w:sz w:val="21"/>
          <w:szCs w:val="21"/>
          <w:highlight w:val="none"/>
          <w:lang w:val="zh-CN" w:eastAsia="zh-CN" w:bidi="ar-SA"/>
        </w:rPr>
        <w:t>%；</w:t>
      </w:r>
    </w:p>
    <w:p w14:paraId="7A00991B">
      <w:pPr>
        <w:pageBreakBefore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2.中标方</w:t>
      </w:r>
      <w:r>
        <w:rPr>
          <w:rFonts w:hint="eastAsia" w:ascii="宋体" w:hAnsi="宋体" w:eastAsia="宋体" w:cs="宋体"/>
          <w:color w:val="000000"/>
          <w:sz w:val="21"/>
          <w:szCs w:val="21"/>
          <w:highlight w:val="none"/>
          <w:lang w:val="zh-CN"/>
        </w:rPr>
        <w:t>凭以下有效文件结算：</w:t>
      </w:r>
    </w:p>
    <w:p w14:paraId="4E2ED5FD">
      <w:pPr>
        <w:pageBreakBefore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zh-CN"/>
        </w:rPr>
        <w:t>）中标通知书；</w:t>
      </w:r>
    </w:p>
    <w:p w14:paraId="6262D96B">
      <w:pPr>
        <w:pageBreakBefore w:val="0"/>
        <w:kinsoku/>
        <w:wordWrap/>
        <w:overflowPunct/>
        <w:topLinePunct w:val="0"/>
        <w:bidi w:val="0"/>
        <w:adjustRightInd/>
        <w:snapToGrid/>
        <w:spacing w:line="360" w:lineRule="auto"/>
        <w:ind w:left="0" w:leftChars="0"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）合同；</w:t>
      </w:r>
    </w:p>
    <w:p w14:paraId="0EAA9177">
      <w:pPr>
        <w:pageBreakBefore w:val="0"/>
        <w:wordWrap/>
        <w:overflowPunct/>
        <w:topLinePunct w:val="0"/>
        <w:bidi w:val="0"/>
        <w:spacing w:line="360" w:lineRule="auto"/>
        <w:ind w:left="0" w:leftChars="0"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zh-CN"/>
        </w:rPr>
        <w:t>）中标方开具的正式发票；</w:t>
      </w:r>
    </w:p>
    <w:p w14:paraId="03978B89">
      <w:pPr>
        <w:pageBreakBefore w:val="0"/>
        <w:wordWrap/>
        <w:overflowPunct/>
        <w:topLinePunct w:val="0"/>
        <w:bidi w:val="0"/>
        <w:spacing w:line="360" w:lineRule="auto"/>
        <w:ind w:left="0" w:leftChars="0"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4）验收报告。</w:t>
      </w:r>
    </w:p>
    <w:p w14:paraId="7EF4FEDD">
      <w:pPr>
        <w:keepNext w:val="0"/>
        <w:keepLines w:val="0"/>
        <w:pageBreakBefore w:val="0"/>
        <w:widowControl w:val="0"/>
        <w:kinsoku/>
        <w:wordWrap/>
        <w:overflowPunct/>
        <w:topLinePunct w:val="0"/>
        <w:bidi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注：具体支付情况以财政资金到位情况为准进行支付。</w:t>
      </w:r>
    </w:p>
    <w:p w14:paraId="2A97EEC1">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line="360" w:lineRule="auto"/>
        <w:ind w:left="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甲方、乙方的权利和义务</w:t>
      </w:r>
    </w:p>
    <w:p w14:paraId="756082B2">
      <w:pPr>
        <w:keepNext w:val="0"/>
        <w:keepLines w:val="0"/>
        <w:pageBreakBefore w:val="0"/>
        <w:kinsoku/>
        <w:wordWrap/>
        <w:overflowPunct/>
        <w:topLinePunct w:val="0"/>
        <w:autoSpaceDE/>
        <w:autoSpaceDN/>
        <w:bidi w:val="0"/>
        <w:adjustRightInd/>
        <w:snapToGrid/>
        <w:spacing w:line="360" w:lineRule="auto"/>
        <w:ind w:left="0" w:leftChars="0"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委派一名专项负责人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如有需要</w:t>
      </w:r>
      <w:r>
        <w:rPr>
          <w:rFonts w:hint="eastAsia" w:ascii="宋体" w:hAnsi="宋体" w:cs="宋体"/>
          <w:color w:val="auto"/>
          <w:szCs w:val="21"/>
          <w:highlight w:val="none"/>
          <w:lang w:eastAsia="zh-CN"/>
        </w:rPr>
        <w:t>）</w:t>
      </w:r>
      <w:r>
        <w:rPr>
          <w:rFonts w:hint="eastAsia" w:ascii="宋体" w:hAnsi="宋体" w:cs="宋体"/>
          <w:color w:val="auto"/>
          <w:szCs w:val="21"/>
          <w:highlight w:val="none"/>
        </w:rPr>
        <w:t>协助</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进行对接工作，全程配合</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组织开展工作，确保培训顺利进行。</w:t>
      </w:r>
    </w:p>
    <w:p w14:paraId="3C5508B5">
      <w:pPr>
        <w:keepNext w:val="0"/>
        <w:keepLines w:val="0"/>
        <w:pageBreakBefore w:val="0"/>
        <w:kinsoku/>
        <w:wordWrap/>
        <w:overflowPunct/>
        <w:topLinePunct w:val="0"/>
        <w:autoSpaceDE/>
        <w:autoSpaceDN/>
        <w:bidi w:val="0"/>
        <w:adjustRightInd/>
        <w:snapToGrid/>
        <w:spacing w:line="360" w:lineRule="auto"/>
        <w:ind w:left="0" w:leftChars="0"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有权对</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活动</w:t>
      </w:r>
      <w:r>
        <w:rPr>
          <w:rFonts w:hint="eastAsia" w:ascii="宋体" w:hAnsi="宋体" w:cs="宋体"/>
          <w:color w:val="auto"/>
          <w:szCs w:val="21"/>
          <w:highlight w:val="none"/>
        </w:rPr>
        <w:t>服务方案提出适当的修改或调整要求，</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须积极配合执行，且不增加任何费用。</w:t>
      </w:r>
    </w:p>
    <w:p w14:paraId="26D45AA5">
      <w:pPr>
        <w:keepNext w:val="0"/>
        <w:keepLines w:val="0"/>
        <w:pageBreakBefore w:val="0"/>
        <w:kinsoku/>
        <w:wordWrap/>
        <w:overflowPunct/>
        <w:topLinePunct w:val="0"/>
        <w:autoSpaceDE/>
        <w:autoSpaceDN/>
        <w:bidi w:val="0"/>
        <w:adjustRightInd/>
        <w:snapToGrid/>
        <w:spacing w:line="360" w:lineRule="auto"/>
        <w:ind w:left="0" w:leftChars="0"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）按照方案约定提供专业的工作人员组织开展工作（不得随意更改调动人员，若有紧急特殊情况，须委派有相应资质的</w:t>
      </w:r>
      <w:r>
        <w:rPr>
          <w:rFonts w:hint="eastAsia" w:ascii="宋体" w:hAnsi="宋体" w:cs="宋体"/>
          <w:color w:val="auto"/>
          <w:szCs w:val="21"/>
          <w:highlight w:val="none"/>
          <w:lang w:val="en-US" w:eastAsia="zh-CN"/>
        </w:rPr>
        <w:t>工作人员</w:t>
      </w:r>
      <w:r>
        <w:rPr>
          <w:rFonts w:hint="eastAsia" w:ascii="宋体" w:hAnsi="宋体" w:cs="宋体"/>
          <w:color w:val="auto"/>
          <w:szCs w:val="21"/>
          <w:highlight w:val="none"/>
        </w:rPr>
        <w:t>替换）。</w:t>
      </w:r>
    </w:p>
    <w:p w14:paraId="0A7F5EF0">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line="360" w:lineRule="auto"/>
        <w:ind w:left="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六</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保密</w:t>
      </w:r>
    </w:p>
    <w:p w14:paraId="3442EDF8">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如甲方有保密要求，则乙方必须严格遵守，如因泄密产生的一切责任，由乙方承担。</w:t>
      </w:r>
    </w:p>
    <w:p w14:paraId="5841E16B">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r>
        <w:rPr>
          <w:rFonts w:hint="eastAsia" w:ascii="宋体" w:hAnsi="宋体" w:cs="仿宋"/>
          <w:color w:val="auto"/>
          <w:szCs w:val="21"/>
          <w:highlight w:val="none"/>
        </w:rPr>
        <w:t>如果甲方有要求，乙方在完成合同后应将有关资料还给甲方。</w:t>
      </w:r>
    </w:p>
    <w:p w14:paraId="49936168">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仿宋"/>
          <w:color w:val="auto"/>
          <w:szCs w:val="21"/>
          <w:highlight w:val="none"/>
        </w:rPr>
        <w:t>本项目需要进入甲方监管区运输，</w:t>
      </w:r>
      <w:r>
        <w:rPr>
          <w:rFonts w:hint="eastAsia" w:ascii="宋体" w:hAnsi="宋体" w:cs="仿宋"/>
          <w:color w:val="auto"/>
          <w:szCs w:val="21"/>
          <w:highlight w:val="none"/>
          <w:lang w:val="en-US" w:eastAsia="zh-CN"/>
        </w:rPr>
        <w:t>外来人员及车辆严格按照管理规定出入监管区大门，</w:t>
      </w:r>
      <w:r>
        <w:rPr>
          <w:rFonts w:hint="eastAsia" w:ascii="宋体" w:hAnsi="宋体" w:cs="仿宋"/>
          <w:color w:val="auto"/>
          <w:szCs w:val="21"/>
          <w:highlight w:val="none"/>
        </w:rPr>
        <w:t>结合预防传染病要求，乙方必须积极配合甲方相关管理规定。</w:t>
      </w:r>
    </w:p>
    <w:p w14:paraId="713EB9AF">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line="360" w:lineRule="auto"/>
        <w:ind w:left="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七</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违约责任与赔偿损失</w:t>
      </w:r>
    </w:p>
    <w:p w14:paraId="682954B2">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方交付的货物及提供的服务不符合采购文件、报价文件或本合同规定的，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有权拒收，要求</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方返还已收取的款项，并且</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方须向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 xml:space="preserve">支付本合同总价30%的违约金。 </w:t>
      </w:r>
    </w:p>
    <w:p w14:paraId="32D4EC1E">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方方未能按本合同规定的交货时间交付货物的/提供服务，从逾期之日起每日按本合同价1%的数额向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支付违约金；逾期15天以上（含15天）的，用户单位有权解除本合同，违约金不足以弥补</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经济损失的，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有权继续向</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方追索。</w:t>
      </w:r>
    </w:p>
    <w:p w14:paraId="13554F88">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3.如未经</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书面同意，</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方将本合同项下义务全部或部分转让给他人的，用户单位有权解除合同，</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方除返还</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已支付的款项外，还应向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支付合同总价的30%作为违约金。违约金不足抵偿</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损失的，</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 xml:space="preserve">有权继续向中标方追索。 </w:t>
      </w:r>
    </w:p>
    <w:p w14:paraId="695408E4">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ascii="宋体" w:hAnsi="宋体" w:cs="仿宋"/>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方提供的货物必须权属清楚，不存在任何形式的权利瑕疵，亦不得侵害他人的知识产权，否则构成对</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违约，并承担相应的赔偿责任。如有任何第三方向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追索要求赔偿的，最终概由</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方负责承担。</w:t>
      </w:r>
    </w:p>
    <w:p w14:paraId="45653454">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line="360" w:lineRule="auto"/>
        <w:ind w:left="0" w:leftChars="0" w:hanging="420" w:firstLineChars="0"/>
        <w:textAlignment w:val="auto"/>
        <w:rPr>
          <w:rFonts w:ascii="宋体" w:hAnsi="宋体"/>
          <w:b/>
          <w:bCs/>
          <w:color w:val="auto"/>
          <w:szCs w:val="21"/>
          <w:highlight w:val="none"/>
        </w:rPr>
      </w:pPr>
      <w:r>
        <w:rPr>
          <w:rFonts w:hint="eastAsia" w:ascii="宋体" w:hAnsi="宋体" w:cs="宋体"/>
          <w:b/>
          <w:bCs/>
          <w:color w:val="auto"/>
          <w:kern w:val="2"/>
          <w:sz w:val="21"/>
          <w:szCs w:val="21"/>
          <w:highlight w:val="none"/>
          <w:lang w:val="en-US" w:eastAsia="zh-CN" w:bidi="ar-SA"/>
        </w:rPr>
        <w:t>八</w:t>
      </w:r>
      <w:r>
        <w:rPr>
          <w:rFonts w:hint="eastAsia" w:ascii="宋体" w:hAnsi="宋体" w:eastAsia="宋体" w:cs="宋体"/>
          <w:b/>
          <w:bCs/>
          <w:color w:val="auto"/>
          <w:kern w:val="2"/>
          <w:sz w:val="21"/>
          <w:szCs w:val="21"/>
          <w:highlight w:val="none"/>
          <w:lang w:val="en-US" w:eastAsia="zh-CN" w:bidi="ar-SA"/>
        </w:rPr>
        <w:t>、</w:t>
      </w:r>
      <w:r>
        <w:rPr>
          <w:rFonts w:hint="eastAsia" w:ascii="宋体" w:hAnsi="宋体"/>
          <w:b/>
          <w:bCs/>
          <w:color w:val="auto"/>
          <w:szCs w:val="21"/>
          <w:highlight w:val="none"/>
        </w:rPr>
        <w:t>争端的解决</w:t>
      </w:r>
    </w:p>
    <w:p w14:paraId="3B85BBFA">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合同执行过程中发生的任何争议，如双方不能通过友好协商解决，甲、乙双方一致同意向甲方所在地人民法院提起诉讼。</w:t>
      </w:r>
    </w:p>
    <w:p w14:paraId="1553EECE">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line="360" w:lineRule="auto"/>
        <w:ind w:left="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九</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不可抗力：</w:t>
      </w:r>
    </w:p>
    <w:p w14:paraId="1046590C">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C4E764F">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line="360" w:lineRule="auto"/>
        <w:ind w:left="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税费：</w:t>
      </w:r>
    </w:p>
    <w:p w14:paraId="0E787B94">
      <w:pPr>
        <w:keepNext w:val="0"/>
        <w:keepLines w:val="0"/>
        <w:pageBreakBefore w:val="0"/>
        <w:kinsoku/>
        <w:wordWrap/>
        <w:overflowPunct/>
        <w:topLinePunct w:val="0"/>
        <w:autoSpaceDE/>
        <w:autoSpaceDN/>
        <w:bidi w:val="0"/>
        <w:adjustRightInd/>
        <w:snapToGrid/>
        <w:spacing w:line="360" w:lineRule="auto"/>
        <w:ind w:left="0" w:leftChars="0" w:firstLine="0"/>
        <w:textAlignment w:val="auto"/>
        <w:rPr>
          <w:rFonts w:ascii="宋体" w:hAnsi="宋体" w:cs="宋体"/>
          <w:color w:val="auto"/>
          <w:szCs w:val="21"/>
          <w:highlight w:val="none"/>
        </w:rPr>
      </w:pPr>
      <w:r>
        <w:rPr>
          <w:rFonts w:hint="eastAsia" w:ascii="宋体" w:hAnsi="宋体" w:cs="宋体"/>
          <w:color w:val="auto"/>
          <w:szCs w:val="21"/>
          <w:highlight w:val="none"/>
        </w:rPr>
        <w:t>在中国境内、外发生的与本合同执行有关的一切税费均由乙方负担。</w:t>
      </w:r>
    </w:p>
    <w:p w14:paraId="175520A9">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line="360" w:lineRule="auto"/>
        <w:ind w:left="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十一</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合同生效</w:t>
      </w:r>
    </w:p>
    <w:p w14:paraId="4B2823A5">
      <w:pPr>
        <w:keepNext w:val="0"/>
        <w:keepLines w:val="0"/>
        <w:pageBreakBefore w:val="0"/>
        <w:numPr>
          <w:ilvl w:val="0"/>
          <w:numId w:val="17"/>
        </w:numPr>
        <w:kinsoku/>
        <w:wordWrap/>
        <w:overflowPunct/>
        <w:topLinePunct w:val="0"/>
        <w:autoSpaceDE/>
        <w:autoSpaceDN/>
        <w:bidi w:val="0"/>
        <w:adjustRightInd/>
        <w:snapToGrid/>
        <w:spacing w:line="360" w:lineRule="auto"/>
        <w:ind w:left="0" w:leftChars="0"/>
        <w:textAlignment w:val="auto"/>
        <w:rPr>
          <w:rFonts w:ascii="宋体" w:hAnsi="宋体" w:cs="宋体"/>
          <w:color w:val="auto"/>
          <w:szCs w:val="21"/>
          <w:highlight w:val="none"/>
        </w:rPr>
      </w:pPr>
      <w:r>
        <w:rPr>
          <w:rFonts w:hint="eastAsia" w:ascii="宋体" w:hAnsi="宋体" w:cs="宋体"/>
          <w:color w:val="auto"/>
          <w:szCs w:val="21"/>
          <w:highlight w:val="none"/>
        </w:rPr>
        <w:t>合同自甲乙双方法人代表或其授权代表签字盖章之日起生效，乙方须按本合同约定的时间进行履约。</w:t>
      </w:r>
    </w:p>
    <w:p w14:paraId="17B70419">
      <w:pPr>
        <w:keepNext w:val="0"/>
        <w:keepLines w:val="0"/>
        <w:pageBreakBefore w:val="0"/>
        <w:numPr>
          <w:ilvl w:val="0"/>
          <w:numId w:val="17"/>
        </w:numPr>
        <w:kinsoku/>
        <w:wordWrap/>
        <w:overflowPunct/>
        <w:topLinePunct w:val="0"/>
        <w:autoSpaceDE/>
        <w:autoSpaceDN/>
        <w:bidi w:val="0"/>
        <w:adjustRightInd/>
        <w:snapToGrid/>
        <w:spacing w:line="360" w:lineRule="auto"/>
        <w:ind w:left="0" w:leftChars="0"/>
        <w:textAlignment w:val="auto"/>
        <w:rPr>
          <w:rFonts w:ascii="宋体" w:hAnsi="宋体" w:cs="宋体"/>
          <w:color w:val="auto"/>
          <w:szCs w:val="21"/>
          <w:highlight w:val="none"/>
        </w:rPr>
      </w:pPr>
      <w:r>
        <w:rPr>
          <w:rFonts w:hint="eastAsia" w:ascii="宋体" w:hAnsi="宋体" w:cs="宋体"/>
          <w:color w:val="auto"/>
          <w:szCs w:val="21"/>
          <w:highlight w:val="none"/>
        </w:rPr>
        <w:t>合同一式</w:t>
      </w:r>
      <w:r>
        <w:rPr>
          <w:rFonts w:hint="eastAsia" w:ascii="宋体" w:hAnsi="宋体" w:cs="宋体"/>
          <w:color w:val="auto"/>
          <w:szCs w:val="21"/>
          <w:highlight w:val="none"/>
          <w:u w:val="single"/>
        </w:rPr>
        <w:t xml:space="preserve"> 陆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w:t>
      </w:r>
    </w:p>
    <w:p w14:paraId="31E9F9CF">
      <w:pPr>
        <w:keepNext w:val="0"/>
        <w:keepLines w:val="0"/>
        <w:pageBreakBefore w:val="0"/>
        <w:numPr>
          <w:ilvl w:val="0"/>
          <w:numId w:val="0"/>
        </w:numPr>
        <w:tabs>
          <w:tab w:val="left" w:pos="420"/>
          <w:tab w:val="left" w:pos="540"/>
        </w:tabs>
        <w:kinsoku/>
        <w:wordWrap/>
        <w:overflowPunct/>
        <w:topLinePunct w:val="0"/>
        <w:autoSpaceDE/>
        <w:autoSpaceDN/>
        <w:bidi w:val="0"/>
        <w:adjustRightInd/>
        <w:snapToGrid/>
        <w:spacing w:line="360" w:lineRule="auto"/>
        <w:ind w:left="0" w:leftChars="0" w:hanging="420" w:firstLineChars="0"/>
        <w:textAlignment w:val="auto"/>
        <w:rPr>
          <w:rFonts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十二</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rPr>
        <w:t>其它要求</w:t>
      </w:r>
    </w:p>
    <w:p w14:paraId="1064393B">
      <w:pPr>
        <w:keepNext w:val="0"/>
        <w:keepLines w:val="0"/>
        <w:pageBreakBefore w:val="0"/>
        <w:kinsoku/>
        <w:wordWrap/>
        <w:overflowPunct/>
        <w:topLinePunct w:val="0"/>
        <w:autoSpaceDE/>
        <w:autoSpaceDN/>
        <w:bidi w:val="0"/>
        <w:adjustRightInd/>
        <w:snapToGrid/>
        <w:spacing w:line="360" w:lineRule="auto"/>
        <w:ind w:left="0" w:leftChars="0" w:firstLine="0"/>
        <w:textAlignment w:val="auto"/>
        <w:rPr>
          <w:rFonts w:ascii="宋体" w:hAnsi="宋体"/>
          <w:color w:val="auto"/>
          <w:highlight w:val="none"/>
        </w:rPr>
      </w:pPr>
      <w:r>
        <w:rPr>
          <w:rFonts w:hint="eastAsia" w:ascii="宋体" w:hAnsi="宋体" w:cs="宋体"/>
          <w:color w:val="auto"/>
          <w:szCs w:val="21"/>
          <w:highlight w:val="none"/>
        </w:rPr>
        <w:t>（一） 本合同所有附件、招标文件、投标文件、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通知书通知书均为合同的有效组成部分，与本合同具有同等法律效力。</w:t>
      </w:r>
    </w:p>
    <w:p w14:paraId="52BF337F">
      <w:pPr>
        <w:keepNext w:val="0"/>
        <w:keepLines w:val="0"/>
        <w:pageBreakBefore w:val="0"/>
        <w:kinsoku/>
        <w:wordWrap/>
        <w:overflowPunct/>
        <w:topLinePunct w:val="0"/>
        <w:autoSpaceDE/>
        <w:autoSpaceDN/>
        <w:bidi w:val="0"/>
        <w:adjustRightInd/>
        <w:snapToGrid/>
        <w:spacing w:line="360" w:lineRule="auto"/>
        <w:ind w:left="0" w:leftChars="0" w:firstLine="0"/>
        <w:textAlignment w:val="auto"/>
        <w:rPr>
          <w:rFonts w:ascii="宋体" w:hAnsi="宋体" w:cs="宋体"/>
          <w:color w:val="auto"/>
          <w:szCs w:val="21"/>
          <w:highlight w:val="none"/>
        </w:rPr>
      </w:pPr>
      <w:r>
        <w:rPr>
          <w:rFonts w:hint="eastAsia" w:ascii="宋体" w:hAnsi="宋体" w:cs="宋体"/>
          <w:color w:val="auto"/>
          <w:szCs w:val="21"/>
          <w:highlight w:val="none"/>
        </w:rPr>
        <w:t>（二） 在执行本合同的过程中，所有经双方签署确认的文件（包括会议纪要、补充协议、往来信函）即成为本合同的有效组成部分。</w:t>
      </w:r>
    </w:p>
    <w:p w14:paraId="58018A2C">
      <w:pPr>
        <w:keepNext w:val="0"/>
        <w:keepLines w:val="0"/>
        <w:pageBreakBefore w:val="0"/>
        <w:kinsoku/>
        <w:wordWrap/>
        <w:overflowPunct/>
        <w:topLinePunct w:val="0"/>
        <w:autoSpaceDE/>
        <w:autoSpaceDN/>
        <w:bidi w:val="0"/>
        <w:adjustRightInd/>
        <w:snapToGrid/>
        <w:spacing w:line="360" w:lineRule="auto"/>
        <w:ind w:left="0" w:leftChars="0" w:firstLine="0"/>
        <w:textAlignment w:val="auto"/>
        <w:rPr>
          <w:rFonts w:ascii="宋体" w:hAnsi="宋体" w:cs="宋体"/>
          <w:color w:val="auto"/>
          <w:szCs w:val="21"/>
          <w:highlight w:val="none"/>
        </w:rPr>
      </w:pPr>
      <w:r>
        <w:rPr>
          <w:rFonts w:hint="eastAsia" w:ascii="宋体" w:hAnsi="宋体" w:cs="宋体"/>
          <w:color w:val="auto"/>
          <w:szCs w:val="21"/>
          <w:highlight w:val="none"/>
        </w:rPr>
        <w:t>（三）如一方地址、电话、传真号码有变更，应在变更当日内书面通知对方，否则，应承担相应责任。</w:t>
      </w:r>
    </w:p>
    <w:p w14:paraId="67370CDF">
      <w:pPr>
        <w:keepNext w:val="0"/>
        <w:keepLines w:val="0"/>
        <w:pageBreakBefore w:val="0"/>
        <w:kinsoku/>
        <w:wordWrap/>
        <w:overflowPunct/>
        <w:topLinePunct w:val="0"/>
        <w:autoSpaceDE/>
        <w:autoSpaceDN/>
        <w:bidi w:val="0"/>
        <w:adjustRightInd/>
        <w:snapToGrid/>
        <w:spacing w:line="360" w:lineRule="auto"/>
        <w:ind w:left="0" w:leftChars="0" w:firstLine="0"/>
        <w:textAlignment w:val="auto"/>
        <w:rPr>
          <w:rFonts w:ascii="宋体" w:hAnsi="宋体" w:cs="宋体"/>
          <w:color w:val="auto"/>
          <w:szCs w:val="21"/>
          <w:highlight w:val="none"/>
        </w:rPr>
      </w:pPr>
      <w:r>
        <w:rPr>
          <w:rFonts w:hint="eastAsia" w:ascii="宋体" w:hAnsi="宋体" w:cs="宋体"/>
          <w:color w:val="auto"/>
          <w:szCs w:val="21"/>
          <w:highlight w:val="none"/>
        </w:rPr>
        <w:t xml:space="preserve"> 除甲方事先书面同意外，乙方不得部分或全部转让其应履行的合同项下的义务。</w:t>
      </w:r>
    </w:p>
    <w:p w14:paraId="1A26469F">
      <w:pPr>
        <w:pStyle w:val="7"/>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color w:val="auto"/>
          <w:highlight w:val="none"/>
        </w:rPr>
      </w:pPr>
    </w:p>
    <w:p w14:paraId="44E191EC">
      <w:pPr>
        <w:pStyle w:val="7"/>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color w:val="auto"/>
          <w:highlight w:val="none"/>
        </w:rPr>
      </w:pPr>
    </w:p>
    <w:p w14:paraId="4E8C8672">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b/>
          <w:color w:val="auto"/>
          <w:szCs w:val="21"/>
          <w:highlight w:val="none"/>
        </w:rPr>
      </w:pPr>
      <w:r>
        <w:rPr>
          <w:rFonts w:hint="eastAsia" w:ascii="宋体" w:hAnsi="宋体"/>
          <w:b/>
          <w:color w:val="auto"/>
          <w:szCs w:val="21"/>
          <w:highlight w:val="none"/>
        </w:rPr>
        <w:t>甲方（盖章）：                                乙方（盖章）：</w:t>
      </w:r>
    </w:p>
    <w:p w14:paraId="51D7686C">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b/>
          <w:color w:val="auto"/>
          <w:szCs w:val="21"/>
          <w:highlight w:val="none"/>
        </w:rPr>
      </w:pPr>
      <w:r>
        <w:rPr>
          <w:rFonts w:hint="eastAsia" w:ascii="宋体" w:hAnsi="宋体"/>
          <w:b/>
          <w:color w:val="auto"/>
          <w:szCs w:val="21"/>
          <w:highlight w:val="none"/>
        </w:rPr>
        <w:t xml:space="preserve">代表：                                       代表： </w:t>
      </w:r>
    </w:p>
    <w:p w14:paraId="7F7D8747">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color w:val="auto"/>
          <w:szCs w:val="21"/>
          <w:highlight w:val="none"/>
        </w:rPr>
      </w:pPr>
      <w:r>
        <w:rPr>
          <w:rFonts w:hint="eastAsia" w:ascii="宋体" w:hAnsi="宋体"/>
          <w:color w:val="auto"/>
          <w:szCs w:val="21"/>
          <w:highlight w:val="none"/>
        </w:rPr>
        <w:t>签定地点：</w:t>
      </w:r>
    </w:p>
    <w:p w14:paraId="59999010">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color w:val="auto"/>
          <w:szCs w:val="21"/>
          <w:highlight w:val="none"/>
        </w:rPr>
      </w:pPr>
      <w:r>
        <w:rPr>
          <w:rFonts w:hint="eastAsia" w:ascii="宋体" w:hAnsi="宋体"/>
          <w:color w:val="auto"/>
          <w:szCs w:val="21"/>
          <w:highlight w:val="none"/>
        </w:rPr>
        <w:t xml:space="preserve">签定日期：        年     月    日             签定日期：    年    月    日    </w:t>
      </w:r>
    </w:p>
    <w:p w14:paraId="4851B513">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color w:val="auto"/>
          <w:szCs w:val="21"/>
          <w:highlight w:val="none"/>
        </w:rPr>
      </w:pPr>
      <w:r>
        <w:rPr>
          <w:rFonts w:hint="eastAsia" w:ascii="宋体" w:hAnsi="宋体"/>
          <w:color w:val="auto"/>
          <w:szCs w:val="21"/>
          <w:highlight w:val="none"/>
        </w:rPr>
        <w:t>开户名称：</w:t>
      </w:r>
    </w:p>
    <w:p w14:paraId="1F62553F">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color w:val="auto"/>
          <w:szCs w:val="21"/>
          <w:highlight w:val="none"/>
        </w:rPr>
      </w:pPr>
      <w:r>
        <w:rPr>
          <w:rFonts w:hint="eastAsia" w:ascii="宋体" w:hAnsi="宋体"/>
          <w:color w:val="auto"/>
          <w:szCs w:val="21"/>
          <w:highlight w:val="none"/>
        </w:rPr>
        <w:t>银行账号：</w:t>
      </w:r>
    </w:p>
    <w:p w14:paraId="52FF00AB">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color w:val="auto"/>
          <w:highlight w:val="none"/>
        </w:rPr>
      </w:pPr>
      <w:r>
        <w:rPr>
          <w:rFonts w:hint="eastAsia" w:ascii="宋体" w:hAnsi="宋体"/>
          <w:color w:val="auto"/>
          <w:highlight w:val="none"/>
        </w:rPr>
        <w:t>开 户 行</w:t>
      </w:r>
    </w:p>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C6C99B-5E38-4D0C-9E6F-9BB83EA483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CBB15D-8010-400B-B684-BBD768CFBF45}"/>
  </w:font>
  <w:font w:name="Cambria">
    <w:panose1 w:val="02040503050406030204"/>
    <w:charset w:val="00"/>
    <w:family w:val="roman"/>
    <w:pitch w:val="default"/>
    <w:sig w:usb0="E00006FF" w:usb1="420024FF" w:usb2="02000000" w:usb3="00000000" w:csb0="2000019F" w:csb1="00000000"/>
    <w:embedRegular r:id="rId3" w:fontKey="{C4D71EFB-7BF9-43A8-8901-F85E8B7A761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26E2D2E1-D78C-44D6-825B-7A5BCFA920D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5" w:fontKey="{12EF0997-4290-4385-8047-24790591571E}"/>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6" w:fontKey="{831F65AB-C66F-4ADF-A744-3C41BCA005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90F3">
    <w:pPr>
      <w:pStyle w:val="16"/>
      <w:jc w:val="center"/>
    </w:pPr>
    <w:r>
      <w:fldChar w:fldCharType="begin"/>
    </w:r>
    <w:r>
      <w:instrText xml:space="preserve">PAGE   \* MERGEFORMAT</w:instrText>
    </w:r>
    <w:r>
      <w:fldChar w:fldCharType="separate"/>
    </w:r>
    <w:r>
      <w:rPr>
        <w:lang w:val="zh-CN"/>
      </w:rPr>
      <w:t>13</w:t>
    </w:r>
    <w:r>
      <w:rPr>
        <w:lang w:val="zh-CN"/>
      </w:rPr>
      <w:fldChar w:fldCharType="end"/>
    </w:r>
  </w:p>
  <w:p w14:paraId="3B41763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54AA">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5789E">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65789E">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D397"/>
    <w:multiLevelType w:val="singleLevel"/>
    <w:tmpl w:val="A140D397"/>
    <w:lvl w:ilvl="0" w:tentative="0">
      <w:start w:val="1"/>
      <w:numFmt w:val="chineseCounting"/>
      <w:suff w:val="nothing"/>
      <w:lvlText w:val="%1、"/>
      <w:lvlJc w:val="left"/>
      <w:pPr>
        <w:ind w:left="0" w:firstLine="420"/>
      </w:pPr>
      <w:rPr>
        <w:rFonts w:hint="eastAsia"/>
      </w:rPr>
    </w:lvl>
  </w:abstractNum>
  <w:abstractNum w:abstractNumId="1">
    <w:nsid w:val="E6007753"/>
    <w:multiLevelType w:val="singleLevel"/>
    <w:tmpl w:val="E6007753"/>
    <w:lvl w:ilvl="0" w:tentative="0">
      <w:start w:val="1"/>
      <w:numFmt w:val="decimal"/>
      <w:suff w:val="nothing"/>
      <w:lvlText w:val="%1．"/>
      <w:lvlJc w:val="left"/>
      <w:pPr>
        <w:ind w:left="0" w:firstLine="400"/>
      </w:pPr>
      <w:rPr>
        <w:rFonts w:hint="default"/>
      </w:rPr>
    </w:lvl>
  </w:abstractNum>
  <w:abstractNum w:abstractNumId="2">
    <w:nsid w:val="00000001"/>
    <w:multiLevelType w:val="multilevel"/>
    <w:tmpl w:val="0000000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5">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0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805058"/>
    <w:multiLevelType w:val="multilevel"/>
    <w:tmpl w:val="00805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78BBFF"/>
    <w:multiLevelType w:val="singleLevel"/>
    <w:tmpl w:val="0778BBFF"/>
    <w:lvl w:ilvl="0" w:tentative="0">
      <w:start w:val="1"/>
      <w:numFmt w:val="decimalEnclosedCircleChinese"/>
      <w:suff w:val="nothing"/>
      <w:lvlText w:val="%1　"/>
      <w:lvlJc w:val="left"/>
      <w:pPr>
        <w:ind w:left="0" w:firstLine="400"/>
      </w:pPr>
      <w:rPr>
        <w:rFonts w:hint="eastAsia"/>
      </w:rPr>
    </w:lvl>
  </w:abstractNum>
  <w:abstractNum w:abstractNumId="10">
    <w:nsid w:val="0F0E48B0"/>
    <w:multiLevelType w:val="multilevel"/>
    <w:tmpl w:val="0F0E48B0"/>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19BAF538"/>
    <w:multiLevelType w:val="singleLevel"/>
    <w:tmpl w:val="19BAF538"/>
    <w:lvl w:ilvl="0" w:tentative="0">
      <w:start w:val="1"/>
      <w:numFmt w:val="decimal"/>
      <w:suff w:val="nothing"/>
      <w:lvlText w:val="%1、"/>
      <w:lvlJc w:val="left"/>
    </w:lvl>
  </w:abstractNum>
  <w:abstractNum w:abstractNumId="12">
    <w:nsid w:val="2AE214B1"/>
    <w:multiLevelType w:val="singleLevel"/>
    <w:tmpl w:val="2AE214B1"/>
    <w:lvl w:ilvl="0" w:tentative="0">
      <w:start w:val="1"/>
      <w:numFmt w:val="chineseCounting"/>
      <w:suff w:val="space"/>
      <w:lvlText w:val="第%1章"/>
      <w:lvlJc w:val="left"/>
      <w:rPr>
        <w:rFonts w:hint="eastAsia"/>
      </w:r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54E523C7"/>
    <w:multiLevelType w:val="singleLevel"/>
    <w:tmpl w:val="54E523C7"/>
    <w:lvl w:ilvl="0" w:tentative="0">
      <w:start w:val="1"/>
      <w:numFmt w:val="decimal"/>
      <w:lvlText w:val="%1."/>
      <w:lvlJc w:val="left"/>
      <w:pPr>
        <w:ind w:left="425" w:hanging="425"/>
      </w:pPr>
      <w:rPr>
        <w:rFonts w:hint="default"/>
      </w:rPr>
    </w:lvl>
  </w:abstractNum>
  <w:abstractNum w:abstractNumId="15">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0"/>
  </w:num>
  <w:num w:numId="3">
    <w:abstractNumId w:val="1"/>
  </w:num>
  <w:num w:numId="4">
    <w:abstractNumId w:val="9"/>
  </w:num>
  <w:num w:numId="5">
    <w:abstractNumId w:val="11"/>
  </w:num>
  <w:num w:numId="6">
    <w:abstractNumId w:val="5"/>
  </w:num>
  <w:num w:numId="7">
    <w:abstractNumId w:val="16"/>
  </w:num>
  <w:num w:numId="8">
    <w:abstractNumId w:val="3"/>
  </w:num>
  <w:num w:numId="9">
    <w:abstractNumId w:val="15"/>
  </w:num>
  <w:num w:numId="10">
    <w:abstractNumId w:val="4"/>
  </w:num>
  <w:num w:numId="11">
    <w:abstractNumId w:val="6"/>
  </w:num>
  <w:num w:numId="12">
    <w:abstractNumId w:val="7"/>
  </w:num>
  <w:num w:numId="13">
    <w:abstractNumId w:val="2"/>
  </w:num>
  <w:num w:numId="14">
    <w:abstractNumId w:val="14"/>
  </w:num>
  <w:num w:numId="15">
    <w:abstractNumId w:val="8"/>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ODVjMTc5NjYwNTBjMTc5ZDc5NjUwMTliYjVjOGIifQ=="/>
  </w:docVars>
  <w:rsids>
    <w:rsidRoot w:val="00934863"/>
    <w:rsid w:val="00001726"/>
    <w:rsid w:val="00002632"/>
    <w:rsid w:val="00003A4F"/>
    <w:rsid w:val="000043ED"/>
    <w:rsid w:val="00004A8B"/>
    <w:rsid w:val="00004AD1"/>
    <w:rsid w:val="00005282"/>
    <w:rsid w:val="00006717"/>
    <w:rsid w:val="000068DE"/>
    <w:rsid w:val="000076B1"/>
    <w:rsid w:val="00012556"/>
    <w:rsid w:val="0001256D"/>
    <w:rsid w:val="00014941"/>
    <w:rsid w:val="00015886"/>
    <w:rsid w:val="00016BC5"/>
    <w:rsid w:val="000174C0"/>
    <w:rsid w:val="00020166"/>
    <w:rsid w:val="000204D6"/>
    <w:rsid w:val="0002073C"/>
    <w:rsid w:val="0002134A"/>
    <w:rsid w:val="00022A38"/>
    <w:rsid w:val="00024B5C"/>
    <w:rsid w:val="00024CC0"/>
    <w:rsid w:val="0002544A"/>
    <w:rsid w:val="00025608"/>
    <w:rsid w:val="00030ABD"/>
    <w:rsid w:val="000322DA"/>
    <w:rsid w:val="00032B72"/>
    <w:rsid w:val="00033864"/>
    <w:rsid w:val="0003429F"/>
    <w:rsid w:val="00034333"/>
    <w:rsid w:val="00034B9E"/>
    <w:rsid w:val="00034E3A"/>
    <w:rsid w:val="00034F0E"/>
    <w:rsid w:val="0003560A"/>
    <w:rsid w:val="00035FAF"/>
    <w:rsid w:val="0003756C"/>
    <w:rsid w:val="00040FAA"/>
    <w:rsid w:val="00041D74"/>
    <w:rsid w:val="00042897"/>
    <w:rsid w:val="00042912"/>
    <w:rsid w:val="0004318C"/>
    <w:rsid w:val="000433B9"/>
    <w:rsid w:val="0004375A"/>
    <w:rsid w:val="00043D02"/>
    <w:rsid w:val="000444EE"/>
    <w:rsid w:val="00044DC9"/>
    <w:rsid w:val="00045E66"/>
    <w:rsid w:val="0004734E"/>
    <w:rsid w:val="00051AEF"/>
    <w:rsid w:val="00052613"/>
    <w:rsid w:val="00052FFC"/>
    <w:rsid w:val="000540E2"/>
    <w:rsid w:val="00054AC0"/>
    <w:rsid w:val="000552E4"/>
    <w:rsid w:val="00056759"/>
    <w:rsid w:val="00056EB9"/>
    <w:rsid w:val="00057373"/>
    <w:rsid w:val="000602ED"/>
    <w:rsid w:val="00061143"/>
    <w:rsid w:val="00061149"/>
    <w:rsid w:val="000618A4"/>
    <w:rsid w:val="00061BBF"/>
    <w:rsid w:val="000625EC"/>
    <w:rsid w:val="00063125"/>
    <w:rsid w:val="000633F5"/>
    <w:rsid w:val="0006453E"/>
    <w:rsid w:val="00064942"/>
    <w:rsid w:val="00064D33"/>
    <w:rsid w:val="000651E6"/>
    <w:rsid w:val="000667D1"/>
    <w:rsid w:val="00070124"/>
    <w:rsid w:val="0007056E"/>
    <w:rsid w:val="0007065B"/>
    <w:rsid w:val="00071309"/>
    <w:rsid w:val="000716F3"/>
    <w:rsid w:val="00071702"/>
    <w:rsid w:val="00073015"/>
    <w:rsid w:val="000730B6"/>
    <w:rsid w:val="000734C0"/>
    <w:rsid w:val="000739D5"/>
    <w:rsid w:val="00073F41"/>
    <w:rsid w:val="000740F1"/>
    <w:rsid w:val="0007439F"/>
    <w:rsid w:val="00076A51"/>
    <w:rsid w:val="00076CF2"/>
    <w:rsid w:val="00076F9C"/>
    <w:rsid w:val="0007799E"/>
    <w:rsid w:val="00080221"/>
    <w:rsid w:val="000802BD"/>
    <w:rsid w:val="00080C03"/>
    <w:rsid w:val="0008267E"/>
    <w:rsid w:val="00082C8D"/>
    <w:rsid w:val="00082F1B"/>
    <w:rsid w:val="00084643"/>
    <w:rsid w:val="00084D08"/>
    <w:rsid w:val="0008777F"/>
    <w:rsid w:val="000878C0"/>
    <w:rsid w:val="00087B53"/>
    <w:rsid w:val="0009098F"/>
    <w:rsid w:val="00090FC1"/>
    <w:rsid w:val="00091F6E"/>
    <w:rsid w:val="000945DB"/>
    <w:rsid w:val="00094EE4"/>
    <w:rsid w:val="00097227"/>
    <w:rsid w:val="0009730A"/>
    <w:rsid w:val="000978FB"/>
    <w:rsid w:val="000A0295"/>
    <w:rsid w:val="000A221C"/>
    <w:rsid w:val="000A3D8A"/>
    <w:rsid w:val="000A3F4A"/>
    <w:rsid w:val="000A3F9D"/>
    <w:rsid w:val="000A4742"/>
    <w:rsid w:val="000A55A3"/>
    <w:rsid w:val="000A589B"/>
    <w:rsid w:val="000A59E6"/>
    <w:rsid w:val="000A6678"/>
    <w:rsid w:val="000A689E"/>
    <w:rsid w:val="000A6D78"/>
    <w:rsid w:val="000A73ED"/>
    <w:rsid w:val="000A7C67"/>
    <w:rsid w:val="000B08E7"/>
    <w:rsid w:val="000B0E1E"/>
    <w:rsid w:val="000B2881"/>
    <w:rsid w:val="000B30AA"/>
    <w:rsid w:val="000C0012"/>
    <w:rsid w:val="000C02B2"/>
    <w:rsid w:val="000C132C"/>
    <w:rsid w:val="000C31D8"/>
    <w:rsid w:val="000C33A6"/>
    <w:rsid w:val="000C3980"/>
    <w:rsid w:val="000C55FF"/>
    <w:rsid w:val="000C6F87"/>
    <w:rsid w:val="000C72CB"/>
    <w:rsid w:val="000D0880"/>
    <w:rsid w:val="000D1F78"/>
    <w:rsid w:val="000D4049"/>
    <w:rsid w:val="000D4A6E"/>
    <w:rsid w:val="000D4DD0"/>
    <w:rsid w:val="000D61F3"/>
    <w:rsid w:val="000D7AF0"/>
    <w:rsid w:val="000D7B2A"/>
    <w:rsid w:val="000E091E"/>
    <w:rsid w:val="000E14C5"/>
    <w:rsid w:val="000E2414"/>
    <w:rsid w:val="000E2423"/>
    <w:rsid w:val="000E2BB2"/>
    <w:rsid w:val="000E2D84"/>
    <w:rsid w:val="000E3AC1"/>
    <w:rsid w:val="000E4ABB"/>
    <w:rsid w:val="000E4E36"/>
    <w:rsid w:val="000E514C"/>
    <w:rsid w:val="000E5815"/>
    <w:rsid w:val="000E609B"/>
    <w:rsid w:val="000E67D4"/>
    <w:rsid w:val="000E737B"/>
    <w:rsid w:val="000F03E7"/>
    <w:rsid w:val="000F077A"/>
    <w:rsid w:val="000F1E87"/>
    <w:rsid w:val="000F3E65"/>
    <w:rsid w:val="000F44D2"/>
    <w:rsid w:val="000F52EC"/>
    <w:rsid w:val="000F5BBD"/>
    <w:rsid w:val="000F6417"/>
    <w:rsid w:val="000F68D0"/>
    <w:rsid w:val="000F71FF"/>
    <w:rsid w:val="000F78B2"/>
    <w:rsid w:val="000F7966"/>
    <w:rsid w:val="001010A9"/>
    <w:rsid w:val="00101DEB"/>
    <w:rsid w:val="001027D1"/>
    <w:rsid w:val="0010299F"/>
    <w:rsid w:val="00104225"/>
    <w:rsid w:val="0010745A"/>
    <w:rsid w:val="00110CE3"/>
    <w:rsid w:val="001114B5"/>
    <w:rsid w:val="00112381"/>
    <w:rsid w:val="0011284A"/>
    <w:rsid w:val="00112BFB"/>
    <w:rsid w:val="00112EC1"/>
    <w:rsid w:val="00113842"/>
    <w:rsid w:val="00114AA9"/>
    <w:rsid w:val="00117651"/>
    <w:rsid w:val="00117C75"/>
    <w:rsid w:val="00117F20"/>
    <w:rsid w:val="00120464"/>
    <w:rsid w:val="00120DDB"/>
    <w:rsid w:val="00121709"/>
    <w:rsid w:val="00121BBA"/>
    <w:rsid w:val="0012386E"/>
    <w:rsid w:val="00125C8C"/>
    <w:rsid w:val="00125DD2"/>
    <w:rsid w:val="00126378"/>
    <w:rsid w:val="00126886"/>
    <w:rsid w:val="00126F59"/>
    <w:rsid w:val="00127E72"/>
    <w:rsid w:val="001309E5"/>
    <w:rsid w:val="00130BBC"/>
    <w:rsid w:val="001315F8"/>
    <w:rsid w:val="00131D44"/>
    <w:rsid w:val="001320FB"/>
    <w:rsid w:val="001324E3"/>
    <w:rsid w:val="001326B3"/>
    <w:rsid w:val="001329F1"/>
    <w:rsid w:val="00132B11"/>
    <w:rsid w:val="00133B88"/>
    <w:rsid w:val="0013588E"/>
    <w:rsid w:val="00136297"/>
    <w:rsid w:val="001363DA"/>
    <w:rsid w:val="00136887"/>
    <w:rsid w:val="0013714A"/>
    <w:rsid w:val="0014053A"/>
    <w:rsid w:val="00142333"/>
    <w:rsid w:val="00143AEA"/>
    <w:rsid w:val="00144C41"/>
    <w:rsid w:val="00144D93"/>
    <w:rsid w:val="0014624F"/>
    <w:rsid w:val="001509A8"/>
    <w:rsid w:val="00150AB3"/>
    <w:rsid w:val="00150EAF"/>
    <w:rsid w:val="00151CFB"/>
    <w:rsid w:val="0015215D"/>
    <w:rsid w:val="00152F6C"/>
    <w:rsid w:val="00153049"/>
    <w:rsid w:val="001552AC"/>
    <w:rsid w:val="00156642"/>
    <w:rsid w:val="0015710B"/>
    <w:rsid w:val="00157751"/>
    <w:rsid w:val="001600D7"/>
    <w:rsid w:val="001622E1"/>
    <w:rsid w:val="001646BB"/>
    <w:rsid w:val="00164A34"/>
    <w:rsid w:val="00165CAC"/>
    <w:rsid w:val="00165F00"/>
    <w:rsid w:val="00167892"/>
    <w:rsid w:val="00167C2C"/>
    <w:rsid w:val="00170439"/>
    <w:rsid w:val="00171C88"/>
    <w:rsid w:val="0017237E"/>
    <w:rsid w:val="00172D7A"/>
    <w:rsid w:val="001738EA"/>
    <w:rsid w:val="00174348"/>
    <w:rsid w:val="00174511"/>
    <w:rsid w:val="00174B5D"/>
    <w:rsid w:val="00174D36"/>
    <w:rsid w:val="001761EA"/>
    <w:rsid w:val="00176305"/>
    <w:rsid w:val="0017683F"/>
    <w:rsid w:val="00180473"/>
    <w:rsid w:val="0018096C"/>
    <w:rsid w:val="00181E98"/>
    <w:rsid w:val="001829F9"/>
    <w:rsid w:val="00182E12"/>
    <w:rsid w:val="001836F1"/>
    <w:rsid w:val="00183DC3"/>
    <w:rsid w:val="00183E59"/>
    <w:rsid w:val="0018411A"/>
    <w:rsid w:val="00186475"/>
    <w:rsid w:val="0018696D"/>
    <w:rsid w:val="00187350"/>
    <w:rsid w:val="00187914"/>
    <w:rsid w:val="00190730"/>
    <w:rsid w:val="0019099F"/>
    <w:rsid w:val="00190C0B"/>
    <w:rsid w:val="001910EA"/>
    <w:rsid w:val="00192510"/>
    <w:rsid w:val="001928F8"/>
    <w:rsid w:val="00193374"/>
    <w:rsid w:val="00193C10"/>
    <w:rsid w:val="001956FF"/>
    <w:rsid w:val="00195D2E"/>
    <w:rsid w:val="0019654A"/>
    <w:rsid w:val="00196DCA"/>
    <w:rsid w:val="001A2377"/>
    <w:rsid w:val="001A2D9A"/>
    <w:rsid w:val="001A3AB8"/>
    <w:rsid w:val="001A4002"/>
    <w:rsid w:val="001A49F7"/>
    <w:rsid w:val="001A4B98"/>
    <w:rsid w:val="001A4BE8"/>
    <w:rsid w:val="001A53B2"/>
    <w:rsid w:val="001A6DF6"/>
    <w:rsid w:val="001A7A9B"/>
    <w:rsid w:val="001B16C8"/>
    <w:rsid w:val="001B23CA"/>
    <w:rsid w:val="001B2857"/>
    <w:rsid w:val="001B3E91"/>
    <w:rsid w:val="001B5F2B"/>
    <w:rsid w:val="001B6502"/>
    <w:rsid w:val="001B66E3"/>
    <w:rsid w:val="001B6855"/>
    <w:rsid w:val="001B6AA6"/>
    <w:rsid w:val="001B74FA"/>
    <w:rsid w:val="001C04D4"/>
    <w:rsid w:val="001C17D8"/>
    <w:rsid w:val="001C4775"/>
    <w:rsid w:val="001C517C"/>
    <w:rsid w:val="001C530C"/>
    <w:rsid w:val="001C63EC"/>
    <w:rsid w:val="001C6A12"/>
    <w:rsid w:val="001C6E05"/>
    <w:rsid w:val="001C6E67"/>
    <w:rsid w:val="001C6EDE"/>
    <w:rsid w:val="001D06F7"/>
    <w:rsid w:val="001D2114"/>
    <w:rsid w:val="001D2B0D"/>
    <w:rsid w:val="001D2EEB"/>
    <w:rsid w:val="001D3598"/>
    <w:rsid w:val="001D38A7"/>
    <w:rsid w:val="001D4C03"/>
    <w:rsid w:val="001D4E69"/>
    <w:rsid w:val="001D5424"/>
    <w:rsid w:val="001D6466"/>
    <w:rsid w:val="001D7482"/>
    <w:rsid w:val="001D7D99"/>
    <w:rsid w:val="001E15A4"/>
    <w:rsid w:val="001E38D2"/>
    <w:rsid w:val="001E4E35"/>
    <w:rsid w:val="001E4E4F"/>
    <w:rsid w:val="001E4E77"/>
    <w:rsid w:val="001E5FA6"/>
    <w:rsid w:val="001E6659"/>
    <w:rsid w:val="001E69B5"/>
    <w:rsid w:val="001E6A1D"/>
    <w:rsid w:val="001E7197"/>
    <w:rsid w:val="001F21A9"/>
    <w:rsid w:val="001F26B7"/>
    <w:rsid w:val="001F30B6"/>
    <w:rsid w:val="001F425A"/>
    <w:rsid w:val="001F56CF"/>
    <w:rsid w:val="001F5733"/>
    <w:rsid w:val="001F7F87"/>
    <w:rsid w:val="002005BA"/>
    <w:rsid w:val="00200705"/>
    <w:rsid w:val="00200CF2"/>
    <w:rsid w:val="0020114A"/>
    <w:rsid w:val="002018D5"/>
    <w:rsid w:val="00202AB3"/>
    <w:rsid w:val="00202C5C"/>
    <w:rsid w:val="0020481C"/>
    <w:rsid w:val="0020490E"/>
    <w:rsid w:val="00204F77"/>
    <w:rsid w:val="00205B1E"/>
    <w:rsid w:val="00207A84"/>
    <w:rsid w:val="00207C96"/>
    <w:rsid w:val="00210140"/>
    <w:rsid w:val="00210D29"/>
    <w:rsid w:val="002113BC"/>
    <w:rsid w:val="002132B9"/>
    <w:rsid w:val="002137CB"/>
    <w:rsid w:val="002139E0"/>
    <w:rsid w:val="00213F53"/>
    <w:rsid w:val="002140DE"/>
    <w:rsid w:val="002141A2"/>
    <w:rsid w:val="002153CE"/>
    <w:rsid w:val="00215506"/>
    <w:rsid w:val="00215C51"/>
    <w:rsid w:val="00215CAC"/>
    <w:rsid w:val="0021670E"/>
    <w:rsid w:val="0021673A"/>
    <w:rsid w:val="00217E0A"/>
    <w:rsid w:val="00221D74"/>
    <w:rsid w:val="00221E7A"/>
    <w:rsid w:val="00223586"/>
    <w:rsid w:val="00223DBE"/>
    <w:rsid w:val="00223E8E"/>
    <w:rsid w:val="00225B13"/>
    <w:rsid w:val="00226D66"/>
    <w:rsid w:val="00227283"/>
    <w:rsid w:val="00227A58"/>
    <w:rsid w:val="00230F69"/>
    <w:rsid w:val="002312DF"/>
    <w:rsid w:val="00234759"/>
    <w:rsid w:val="0023629C"/>
    <w:rsid w:val="002404AA"/>
    <w:rsid w:val="00241E00"/>
    <w:rsid w:val="00241F97"/>
    <w:rsid w:val="002424F0"/>
    <w:rsid w:val="00242D9E"/>
    <w:rsid w:val="00242F36"/>
    <w:rsid w:val="00243BB8"/>
    <w:rsid w:val="00244E13"/>
    <w:rsid w:val="00245403"/>
    <w:rsid w:val="00245C5A"/>
    <w:rsid w:val="00245F30"/>
    <w:rsid w:val="002515F3"/>
    <w:rsid w:val="00252E98"/>
    <w:rsid w:val="00253F75"/>
    <w:rsid w:val="00255623"/>
    <w:rsid w:val="00255EE6"/>
    <w:rsid w:val="00255F99"/>
    <w:rsid w:val="00256941"/>
    <w:rsid w:val="00256A29"/>
    <w:rsid w:val="00256E7B"/>
    <w:rsid w:val="002576CD"/>
    <w:rsid w:val="002607A5"/>
    <w:rsid w:val="0026236C"/>
    <w:rsid w:val="002636F9"/>
    <w:rsid w:val="002637E9"/>
    <w:rsid w:val="00263FC3"/>
    <w:rsid w:val="002641D6"/>
    <w:rsid w:val="00265E50"/>
    <w:rsid w:val="00266408"/>
    <w:rsid w:val="0026657C"/>
    <w:rsid w:val="00267C87"/>
    <w:rsid w:val="00270E12"/>
    <w:rsid w:val="00271905"/>
    <w:rsid w:val="00273DFB"/>
    <w:rsid w:val="0027442C"/>
    <w:rsid w:val="002747CA"/>
    <w:rsid w:val="002747E0"/>
    <w:rsid w:val="002752E5"/>
    <w:rsid w:val="00275866"/>
    <w:rsid w:val="00275D00"/>
    <w:rsid w:val="00276F73"/>
    <w:rsid w:val="002806CE"/>
    <w:rsid w:val="00280F9A"/>
    <w:rsid w:val="002814E6"/>
    <w:rsid w:val="00281F9A"/>
    <w:rsid w:val="00283BD8"/>
    <w:rsid w:val="00283D4D"/>
    <w:rsid w:val="00284926"/>
    <w:rsid w:val="002860C1"/>
    <w:rsid w:val="00286195"/>
    <w:rsid w:val="00286726"/>
    <w:rsid w:val="0029024C"/>
    <w:rsid w:val="00290260"/>
    <w:rsid w:val="002903AB"/>
    <w:rsid w:val="00290D9D"/>
    <w:rsid w:val="002919D3"/>
    <w:rsid w:val="0029235E"/>
    <w:rsid w:val="00292B31"/>
    <w:rsid w:val="00293676"/>
    <w:rsid w:val="002938F9"/>
    <w:rsid w:val="00294808"/>
    <w:rsid w:val="0029506B"/>
    <w:rsid w:val="00295F2E"/>
    <w:rsid w:val="00296536"/>
    <w:rsid w:val="00297540"/>
    <w:rsid w:val="002977C9"/>
    <w:rsid w:val="002A054D"/>
    <w:rsid w:val="002A0629"/>
    <w:rsid w:val="002A1D24"/>
    <w:rsid w:val="002A2523"/>
    <w:rsid w:val="002A2CD0"/>
    <w:rsid w:val="002A37A6"/>
    <w:rsid w:val="002A444D"/>
    <w:rsid w:val="002A6762"/>
    <w:rsid w:val="002A6A09"/>
    <w:rsid w:val="002A7BB7"/>
    <w:rsid w:val="002B1271"/>
    <w:rsid w:val="002B29AC"/>
    <w:rsid w:val="002B368E"/>
    <w:rsid w:val="002B4197"/>
    <w:rsid w:val="002B4C2F"/>
    <w:rsid w:val="002B61D6"/>
    <w:rsid w:val="002B649A"/>
    <w:rsid w:val="002B6720"/>
    <w:rsid w:val="002C08E8"/>
    <w:rsid w:val="002C1132"/>
    <w:rsid w:val="002C1B9E"/>
    <w:rsid w:val="002C322D"/>
    <w:rsid w:val="002C3C41"/>
    <w:rsid w:val="002C4413"/>
    <w:rsid w:val="002C51C3"/>
    <w:rsid w:val="002C5260"/>
    <w:rsid w:val="002C6088"/>
    <w:rsid w:val="002C67B7"/>
    <w:rsid w:val="002D0546"/>
    <w:rsid w:val="002D29DA"/>
    <w:rsid w:val="002D365A"/>
    <w:rsid w:val="002D3998"/>
    <w:rsid w:val="002D3B2D"/>
    <w:rsid w:val="002D5C23"/>
    <w:rsid w:val="002D6A26"/>
    <w:rsid w:val="002D7444"/>
    <w:rsid w:val="002D74EA"/>
    <w:rsid w:val="002E0D2D"/>
    <w:rsid w:val="002E17AE"/>
    <w:rsid w:val="002E267D"/>
    <w:rsid w:val="002E2937"/>
    <w:rsid w:val="002E29C0"/>
    <w:rsid w:val="002E2F08"/>
    <w:rsid w:val="002E3011"/>
    <w:rsid w:val="002E3414"/>
    <w:rsid w:val="002E351B"/>
    <w:rsid w:val="002E4C0F"/>
    <w:rsid w:val="002E5FCC"/>
    <w:rsid w:val="002E66E5"/>
    <w:rsid w:val="002E712E"/>
    <w:rsid w:val="002E7797"/>
    <w:rsid w:val="002E7AB9"/>
    <w:rsid w:val="002F046B"/>
    <w:rsid w:val="002F5215"/>
    <w:rsid w:val="002F59BB"/>
    <w:rsid w:val="002F5C9B"/>
    <w:rsid w:val="002F6939"/>
    <w:rsid w:val="002F71B2"/>
    <w:rsid w:val="002F7CA9"/>
    <w:rsid w:val="002F7D4F"/>
    <w:rsid w:val="00300ABC"/>
    <w:rsid w:val="003022A2"/>
    <w:rsid w:val="003033EE"/>
    <w:rsid w:val="0030344D"/>
    <w:rsid w:val="003036BB"/>
    <w:rsid w:val="00303F57"/>
    <w:rsid w:val="0030658D"/>
    <w:rsid w:val="0030679D"/>
    <w:rsid w:val="00306B6B"/>
    <w:rsid w:val="0030720D"/>
    <w:rsid w:val="0030763F"/>
    <w:rsid w:val="00307C5F"/>
    <w:rsid w:val="00307F62"/>
    <w:rsid w:val="00310213"/>
    <w:rsid w:val="0031030D"/>
    <w:rsid w:val="00310A88"/>
    <w:rsid w:val="00310CCE"/>
    <w:rsid w:val="00310DBE"/>
    <w:rsid w:val="00312C88"/>
    <w:rsid w:val="00313D18"/>
    <w:rsid w:val="00314049"/>
    <w:rsid w:val="003159AF"/>
    <w:rsid w:val="003159C1"/>
    <w:rsid w:val="00315F00"/>
    <w:rsid w:val="00316B74"/>
    <w:rsid w:val="003176A7"/>
    <w:rsid w:val="00317844"/>
    <w:rsid w:val="00317B77"/>
    <w:rsid w:val="00320167"/>
    <w:rsid w:val="003227F4"/>
    <w:rsid w:val="003236D8"/>
    <w:rsid w:val="00323CF5"/>
    <w:rsid w:val="00323F87"/>
    <w:rsid w:val="00324521"/>
    <w:rsid w:val="003263C3"/>
    <w:rsid w:val="003265C4"/>
    <w:rsid w:val="003268EC"/>
    <w:rsid w:val="00326CC9"/>
    <w:rsid w:val="003275B5"/>
    <w:rsid w:val="00327C13"/>
    <w:rsid w:val="003303AB"/>
    <w:rsid w:val="003322CF"/>
    <w:rsid w:val="00333475"/>
    <w:rsid w:val="00333DDE"/>
    <w:rsid w:val="00333F35"/>
    <w:rsid w:val="003347C1"/>
    <w:rsid w:val="00334EE7"/>
    <w:rsid w:val="00335A77"/>
    <w:rsid w:val="00336CAE"/>
    <w:rsid w:val="00336F64"/>
    <w:rsid w:val="0033786B"/>
    <w:rsid w:val="003405F5"/>
    <w:rsid w:val="003421EC"/>
    <w:rsid w:val="003423FA"/>
    <w:rsid w:val="00342BBD"/>
    <w:rsid w:val="00342D06"/>
    <w:rsid w:val="003446F9"/>
    <w:rsid w:val="00345427"/>
    <w:rsid w:val="00345F26"/>
    <w:rsid w:val="0034636C"/>
    <w:rsid w:val="00346AC4"/>
    <w:rsid w:val="00346F03"/>
    <w:rsid w:val="00347515"/>
    <w:rsid w:val="00347E0F"/>
    <w:rsid w:val="0035099A"/>
    <w:rsid w:val="00350E5F"/>
    <w:rsid w:val="00350F38"/>
    <w:rsid w:val="00351012"/>
    <w:rsid w:val="0035177A"/>
    <w:rsid w:val="00351C6F"/>
    <w:rsid w:val="00351F68"/>
    <w:rsid w:val="00351F7E"/>
    <w:rsid w:val="00352242"/>
    <w:rsid w:val="00352710"/>
    <w:rsid w:val="003527D7"/>
    <w:rsid w:val="0035290D"/>
    <w:rsid w:val="003533ED"/>
    <w:rsid w:val="00355D72"/>
    <w:rsid w:val="00357D8C"/>
    <w:rsid w:val="00357ED4"/>
    <w:rsid w:val="00361392"/>
    <w:rsid w:val="003635F6"/>
    <w:rsid w:val="00363C19"/>
    <w:rsid w:val="003665F3"/>
    <w:rsid w:val="00370304"/>
    <w:rsid w:val="003715CB"/>
    <w:rsid w:val="00371FA1"/>
    <w:rsid w:val="00372B20"/>
    <w:rsid w:val="00374C80"/>
    <w:rsid w:val="00375219"/>
    <w:rsid w:val="00375315"/>
    <w:rsid w:val="00375B6C"/>
    <w:rsid w:val="00375F84"/>
    <w:rsid w:val="003775D0"/>
    <w:rsid w:val="00377A46"/>
    <w:rsid w:val="0038063A"/>
    <w:rsid w:val="00380646"/>
    <w:rsid w:val="003808EA"/>
    <w:rsid w:val="00380F6D"/>
    <w:rsid w:val="00381055"/>
    <w:rsid w:val="00381E79"/>
    <w:rsid w:val="003834B3"/>
    <w:rsid w:val="00383EAD"/>
    <w:rsid w:val="00383FD4"/>
    <w:rsid w:val="00384475"/>
    <w:rsid w:val="00384FA0"/>
    <w:rsid w:val="0038604B"/>
    <w:rsid w:val="00386C69"/>
    <w:rsid w:val="00390092"/>
    <w:rsid w:val="00390C80"/>
    <w:rsid w:val="00390ECE"/>
    <w:rsid w:val="00391092"/>
    <w:rsid w:val="00391681"/>
    <w:rsid w:val="00391BCB"/>
    <w:rsid w:val="00391CF7"/>
    <w:rsid w:val="003929C4"/>
    <w:rsid w:val="00392BA3"/>
    <w:rsid w:val="00395C45"/>
    <w:rsid w:val="00395D84"/>
    <w:rsid w:val="003961C4"/>
    <w:rsid w:val="0039656D"/>
    <w:rsid w:val="0039705A"/>
    <w:rsid w:val="003977F4"/>
    <w:rsid w:val="003A020D"/>
    <w:rsid w:val="003A0B08"/>
    <w:rsid w:val="003A1875"/>
    <w:rsid w:val="003A28DE"/>
    <w:rsid w:val="003A3CB1"/>
    <w:rsid w:val="003A4126"/>
    <w:rsid w:val="003A4D35"/>
    <w:rsid w:val="003A7774"/>
    <w:rsid w:val="003A7C31"/>
    <w:rsid w:val="003B077E"/>
    <w:rsid w:val="003B1858"/>
    <w:rsid w:val="003B1F77"/>
    <w:rsid w:val="003B3537"/>
    <w:rsid w:val="003B6915"/>
    <w:rsid w:val="003B6DA6"/>
    <w:rsid w:val="003B6FC8"/>
    <w:rsid w:val="003B7A5C"/>
    <w:rsid w:val="003B7E57"/>
    <w:rsid w:val="003C24C6"/>
    <w:rsid w:val="003C24E4"/>
    <w:rsid w:val="003C2774"/>
    <w:rsid w:val="003C2F84"/>
    <w:rsid w:val="003C2FB3"/>
    <w:rsid w:val="003C51B8"/>
    <w:rsid w:val="003C5B10"/>
    <w:rsid w:val="003C64D2"/>
    <w:rsid w:val="003C6872"/>
    <w:rsid w:val="003C6B83"/>
    <w:rsid w:val="003C70C6"/>
    <w:rsid w:val="003C71B9"/>
    <w:rsid w:val="003C7FF4"/>
    <w:rsid w:val="003D0FDC"/>
    <w:rsid w:val="003D0FFA"/>
    <w:rsid w:val="003D141E"/>
    <w:rsid w:val="003D163F"/>
    <w:rsid w:val="003D1AE6"/>
    <w:rsid w:val="003D3353"/>
    <w:rsid w:val="003D3871"/>
    <w:rsid w:val="003D4E42"/>
    <w:rsid w:val="003D4E63"/>
    <w:rsid w:val="003D4F05"/>
    <w:rsid w:val="003D61AB"/>
    <w:rsid w:val="003D7492"/>
    <w:rsid w:val="003D76A2"/>
    <w:rsid w:val="003D7A6F"/>
    <w:rsid w:val="003E0BF0"/>
    <w:rsid w:val="003E1F28"/>
    <w:rsid w:val="003E2A90"/>
    <w:rsid w:val="003E2BE9"/>
    <w:rsid w:val="003E451F"/>
    <w:rsid w:val="003E459B"/>
    <w:rsid w:val="003E57B8"/>
    <w:rsid w:val="003E5C41"/>
    <w:rsid w:val="003E6DA3"/>
    <w:rsid w:val="003E78C3"/>
    <w:rsid w:val="003E7D2B"/>
    <w:rsid w:val="003F0909"/>
    <w:rsid w:val="003F1C52"/>
    <w:rsid w:val="003F253E"/>
    <w:rsid w:val="003F2C29"/>
    <w:rsid w:val="003F34CC"/>
    <w:rsid w:val="003F36B3"/>
    <w:rsid w:val="003F3AEF"/>
    <w:rsid w:val="003F4231"/>
    <w:rsid w:val="003F4539"/>
    <w:rsid w:val="003F5A7F"/>
    <w:rsid w:val="003F5F9E"/>
    <w:rsid w:val="003F68B2"/>
    <w:rsid w:val="003F6DF7"/>
    <w:rsid w:val="003F7429"/>
    <w:rsid w:val="003F7603"/>
    <w:rsid w:val="003F7C0B"/>
    <w:rsid w:val="00400103"/>
    <w:rsid w:val="00400840"/>
    <w:rsid w:val="00401DF8"/>
    <w:rsid w:val="004021A3"/>
    <w:rsid w:val="00403CA5"/>
    <w:rsid w:val="00404F42"/>
    <w:rsid w:val="004057EB"/>
    <w:rsid w:val="00406393"/>
    <w:rsid w:val="004065C7"/>
    <w:rsid w:val="00406A94"/>
    <w:rsid w:val="004107DB"/>
    <w:rsid w:val="00410AE6"/>
    <w:rsid w:val="00411F61"/>
    <w:rsid w:val="00413770"/>
    <w:rsid w:val="0041519C"/>
    <w:rsid w:val="00416653"/>
    <w:rsid w:val="0041669B"/>
    <w:rsid w:val="00420EFD"/>
    <w:rsid w:val="00423B6B"/>
    <w:rsid w:val="00424A31"/>
    <w:rsid w:val="00425A2E"/>
    <w:rsid w:val="0042667D"/>
    <w:rsid w:val="00430A68"/>
    <w:rsid w:val="00430E2B"/>
    <w:rsid w:val="004311EC"/>
    <w:rsid w:val="00431939"/>
    <w:rsid w:val="0043216D"/>
    <w:rsid w:val="0043222A"/>
    <w:rsid w:val="0043298F"/>
    <w:rsid w:val="004330A4"/>
    <w:rsid w:val="0043453C"/>
    <w:rsid w:val="00434E60"/>
    <w:rsid w:val="004356D3"/>
    <w:rsid w:val="004361FF"/>
    <w:rsid w:val="004374A7"/>
    <w:rsid w:val="004376CF"/>
    <w:rsid w:val="00440D8C"/>
    <w:rsid w:val="0044191B"/>
    <w:rsid w:val="00441B03"/>
    <w:rsid w:val="00441C9C"/>
    <w:rsid w:val="004422EE"/>
    <w:rsid w:val="004427C1"/>
    <w:rsid w:val="00442B81"/>
    <w:rsid w:val="00443E8D"/>
    <w:rsid w:val="00450A3F"/>
    <w:rsid w:val="00450A85"/>
    <w:rsid w:val="0045124E"/>
    <w:rsid w:val="00452DA9"/>
    <w:rsid w:val="004537A7"/>
    <w:rsid w:val="00454701"/>
    <w:rsid w:val="00455030"/>
    <w:rsid w:val="004551EE"/>
    <w:rsid w:val="00455384"/>
    <w:rsid w:val="00455CE8"/>
    <w:rsid w:val="004562F1"/>
    <w:rsid w:val="00460D19"/>
    <w:rsid w:val="004634C6"/>
    <w:rsid w:val="004660E5"/>
    <w:rsid w:val="004679A2"/>
    <w:rsid w:val="00467CD5"/>
    <w:rsid w:val="00467E2B"/>
    <w:rsid w:val="004703A8"/>
    <w:rsid w:val="004736E9"/>
    <w:rsid w:val="004746E9"/>
    <w:rsid w:val="0047596A"/>
    <w:rsid w:val="00475B52"/>
    <w:rsid w:val="00475F32"/>
    <w:rsid w:val="00475F35"/>
    <w:rsid w:val="00476E08"/>
    <w:rsid w:val="004773FA"/>
    <w:rsid w:val="00481186"/>
    <w:rsid w:val="0048124E"/>
    <w:rsid w:val="0048137E"/>
    <w:rsid w:val="00481FB4"/>
    <w:rsid w:val="00482DB5"/>
    <w:rsid w:val="00482DDB"/>
    <w:rsid w:val="00483E58"/>
    <w:rsid w:val="00484015"/>
    <w:rsid w:val="00484A82"/>
    <w:rsid w:val="00484DC0"/>
    <w:rsid w:val="00485F31"/>
    <w:rsid w:val="0048660A"/>
    <w:rsid w:val="00486BA8"/>
    <w:rsid w:val="00487567"/>
    <w:rsid w:val="004875B9"/>
    <w:rsid w:val="00487E42"/>
    <w:rsid w:val="0049054F"/>
    <w:rsid w:val="00493A4A"/>
    <w:rsid w:val="00494682"/>
    <w:rsid w:val="004965DA"/>
    <w:rsid w:val="004974E5"/>
    <w:rsid w:val="00497EDB"/>
    <w:rsid w:val="004A02D4"/>
    <w:rsid w:val="004A0B59"/>
    <w:rsid w:val="004A0E9F"/>
    <w:rsid w:val="004A1872"/>
    <w:rsid w:val="004A257D"/>
    <w:rsid w:val="004A2ECD"/>
    <w:rsid w:val="004A4C8D"/>
    <w:rsid w:val="004A6049"/>
    <w:rsid w:val="004A652C"/>
    <w:rsid w:val="004A6990"/>
    <w:rsid w:val="004A6D6D"/>
    <w:rsid w:val="004B04D8"/>
    <w:rsid w:val="004B06F4"/>
    <w:rsid w:val="004B1D66"/>
    <w:rsid w:val="004B4A97"/>
    <w:rsid w:val="004B55F6"/>
    <w:rsid w:val="004B5856"/>
    <w:rsid w:val="004B7657"/>
    <w:rsid w:val="004C0AFA"/>
    <w:rsid w:val="004C25B4"/>
    <w:rsid w:val="004C2B82"/>
    <w:rsid w:val="004C2B85"/>
    <w:rsid w:val="004C339E"/>
    <w:rsid w:val="004C3C93"/>
    <w:rsid w:val="004C59D1"/>
    <w:rsid w:val="004C5D68"/>
    <w:rsid w:val="004C5F62"/>
    <w:rsid w:val="004D17B3"/>
    <w:rsid w:val="004D1905"/>
    <w:rsid w:val="004D1EA3"/>
    <w:rsid w:val="004D1F5F"/>
    <w:rsid w:val="004D20F3"/>
    <w:rsid w:val="004D2E2A"/>
    <w:rsid w:val="004D31E4"/>
    <w:rsid w:val="004D3E65"/>
    <w:rsid w:val="004D4BDC"/>
    <w:rsid w:val="004D4CD6"/>
    <w:rsid w:val="004D546B"/>
    <w:rsid w:val="004D600A"/>
    <w:rsid w:val="004D64A6"/>
    <w:rsid w:val="004E121B"/>
    <w:rsid w:val="004E249E"/>
    <w:rsid w:val="004E2CBA"/>
    <w:rsid w:val="004E2D46"/>
    <w:rsid w:val="004E3B0A"/>
    <w:rsid w:val="004E3EED"/>
    <w:rsid w:val="004E5633"/>
    <w:rsid w:val="004E5E75"/>
    <w:rsid w:val="004E7777"/>
    <w:rsid w:val="004E7CCB"/>
    <w:rsid w:val="004E7F3A"/>
    <w:rsid w:val="004F1BB8"/>
    <w:rsid w:val="004F1C3A"/>
    <w:rsid w:val="004F1CCF"/>
    <w:rsid w:val="004F2D61"/>
    <w:rsid w:val="004F392C"/>
    <w:rsid w:val="004F490E"/>
    <w:rsid w:val="004F6031"/>
    <w:rsid w:val="004F6B4E"/>
    <w:rsid w:val="004F6DE7"/>
    <w:rsid w:val="004F7286"/>
    <w:rsid w:val="004F73C7"/>
    <w:rsid w:val="004F7488"/>
    <w:rsid w:val="00500042"/>
    <w:rsid w:val="005000A3"/>
    <w:rsid w:val="00500122"/>
    <w:rsid w:val="00501D42"/>
    <w:rsid w:val="005025B7"/>
    <w:rsid w:val="00502AB7"/>
    <w:rsid w:val="00502B17"/>
    <w:rsid w:val="00502CB0"/>
    <w:rsid w:val="00504BA0"/>
    <w:rsid w:val="005101D9"/>
    <w:rsid w:val="0051100B"/>
    <w:rsid w:val="00511755"/>
    <w:rsid w:val="00511DEA"/>
    <w:rsid w:val="00511EED"/>
    <w:rsid w:val="00513D6E"/>
    <w:rsid w:val="00513EFB"/>
    <w:rsid w:val="00514A2F"/>
    <w:rsid w:val="00515A1C"/>
    <w:rsid w:val="00515B7D"/>
    <w:rsid w:val="00515BBB"/>
    <w:rsid w:val="00515BF9"/>
    <w:rsid w:val="00516DCC"/>
    <w:rsid w:val="00517AA7"/>
    <w:rsid w:val="00517C1E"/>
    <w:rsid w:val="00520556"/>
    <w:rsid w:val="005206BD"/>
    <w:rsid w:val="0052105C"/>
    <w:rsid w:val="00522147"/>
    <w:rsid w:val="005223C1"/>
    <w:rsid w:val="00523EA4"/>
    <w:rsid w:val="005240FF"/>
    <w:rsid w:val="00524AFC"/>
    <w:rsid w:val="00525987"/>
    <w:rsid w:val="00526286"/>
    <w:rsid w:val="005262A1"/>
    <w:rsid w:val="00526608"/>
    <w:rsid w:val="00526E72"/>
    <w:rsid w:val="00527651"/>
    <w:rsid w:val="005315C8"/>
    <w:rsid w:val="00532447"/>
    <w:rsid w:val="00532A6C"/>
    <w:rsid w:val="00534C08"/>
    <w:rsid w:val="00535186"/>
    <w:rsid w:val="005353D3"/>
    <w:rsid w:val="00535458"/>
    <w:rsid w:val="005354D0"/>
    <w:rsid w:val="00536283"/>
    <w:rsid w:val="0053641E"/>
    <w:rsid w:val="00536668"/>
    <w:rsid w:val="005379F3"/>
    <w:rsid w:val="005402F3"/>
    <w:rsid w:val="00540B0C"/>
    <w:rsid w:val="0054126E"/>
    <w:rsid w:val="00541A3A"/>
    <w:rsid w:val="00542557"/>
    <w:rsid w:val="005428E2"/>
    <w:rsid w:val="00542DFD"/>
    <w:rsid w:val="0054323C"/>
    <w:rsid w:val="005441D7"/>
    <w:rsid w:val="00544204"/>
    <w:rsid w:val="0054442B"/>
    <w:rsid w:val="00545139"/>
    <w:rsid w:val="00545FE9"/>
    <w:rsid w:val="0054623C"/>
    <w:rsid w:val="005471C1"/>
    <w:rsid w:val="00547CDB"/>
    <w:rsid w:val="00547F54"/>
    <w:rsid w:val="00550DD1"/>
    <w:rsid w:val="00551B2C"/>
    <w:rsid w:val="00551C66"/>
    <w:rsid w:val="0055308F"/>
    <w:rsid w:val="0055391A"/>
    <w:rsid w:val="00553DFF"/>
    <w:rsid w:val="00554B10"/>
    <w:rsid w:val="005569A7"/>
    <w:rsid w:val="00556DEA"/>
    <w:rsid w:val="00562CB3"/>
    <w:rsid w:val="005643A7"/>
    <w:rsid w:val="00565559"/>
    <w:rsid w:val="005673AA"/>
    <w:rsid w:val="005709EC"/>
    <w:rsid w:val="00570A0F"/>
    <w:rsid w:val="005713BE"/>
    <w:rsid w:val="0057141C"/>
    <w:rsid w:val="00572286"/>
    <w:rsid w:val="00573971"/>
    <w:rsid w:val="005743FA"/>
    <w:rsid w:val="005745E9"/>
    <w:rsid w:val="00576035"/>
    <w:rsid w:val="00576350"/>
    <w:rsid w:val="00577D3A"/>
    <w:rsid w:val="0058140D"/>
    <w:rsid w:val="005816D7"/>
    <w:rsid w:val="00581A8F"/>
    <w:rsid w:val="0058347F"/>
    <w:rsid w:val="0058363B"/>
    <w:rsid w:val="005844D0"/>
    <w:rsid w:val="005858CE"/>
    <w:rsid w:val="00586A2E"/>
    <w:rsid w:val="00586E9B"/>
    <w:rsid w:val="0058770B"/>
    <w:rsid w:val="005878BE"/>
    <w:rsid w:val="005901D6"/>
    <w:rsid w:val="005902C1"/>
    <w:rsid w:val="00590485"/>
    <w:rsid w:val="005908E2"/>
    <w:rsid w:val="00591275"/>
    <w:rsid w:val="00592FC5"/>
    <w:rsid w:val="00593B24"/>
    <w:rsid w:val="00594923"/>
    <w:rsid w:val="00594D66"/>
    <w:rsid w:val="00594EE8"/>
    <w:rsid w:val="0059583F"/>
    <w:rsid w:val="005966BE"/>
    <w:rsid w:val="0059716D"/>
    <w:rsid w:val="00597267"/>
    <w:rsid w:val="005A199B"/>
    <w:rsid w:val="005A2CDD"/>
    <w:rsid w:val="005A44CA"/>
    <w:rsid w:val="005A4A6E"/>
    <w:rsid w:val="005A4F2C"/>
    <w:rsid w:val="005A5229"/>
    <w:rsid w:val="005A53FA"/>
    <w:rsid w:val="005A54EB"/>
    <w:rsid w:val="005A6314"/>
    <w:rsid w:val="005A70A0"/>
    <w:rsid w:val="005A7736"/>
    <w:rsid w:val="005A789F"/>
    <w:rsid w:val="005B0A1E"/>
    <w:rsid w:val="005B124A"/>
    <w:rsid w:val="005B19F9"/>
    <w:rsid w:val="005B2E46"/>
    <w:rsid w:val="005B43F5"/>
    <w:rsid w:val="005B50A2"/>
    <w:rsid w:val="005B5559"/>
    <w:rsid w:val="005B594F"/>
    <w:rsid w:val="005B6019"/>
    <w:rsid w:val="005B61E1"/>
    <w:rsid w:val="005B6287"/>
    <w:rsid w:val="005C0442"/>
    <w:rsid w:val="005C05FA"/>
    <w:rsid w:val="005C17F7"/>
    <w:rsid w:val="005C1B50"/>
    <w:rsid w:val="005C1C25"/>
    <w:rsid w:val="005C381A"/>
    <w:rsid w:val="005C3D00"/>
    <w:rsid w:val="005C4976"/>
    <w:rsid w:val="005C49A6"/>
    <w:rsid w:val="005C511F"/>
    <w:rsid w:val="005C6564"/>
    <w:rsid w:val="005C662C"/>
    <w:rsid w:val="005C7206"/>
    <w:rsid w:val="005D306C"/>
    <w:rsid w:val="005D3592"/>
    <w:rsid w:val="005D3EE7"/>
    <w:rsid w:val="005D3F81"/>
    <w:rsid w:val="005D4A10"/>
    <w:rsid w:val="005D589A"/>
    <w:rsid w:val="005D6429"/>
    <w:rsid w:val="005D75AD"/>
    <w:rsid w:val="005D7BA8"/>
    <w:rsid w:val="005D7D4C"/>
    <w:rsid w:val="005E0591"/>
    <w:rsid w:val="005E14AF"/>
    <w:rsid w:val="005E27B7"/>
    <w:rsid w:val="005E298B"/>
    <w:rsid w:val="005E2BB1"/>
    <w:rsid w:val="005E2DED"/>
    <w:rsid w:val="005E3061"/>
    <w:rsid w:val="005E4014"/>
    <w:rsid w:val="005E445B"/>
    <w:rsid w:val="005E5218"/>
    <w:rsid w:val="005E6910"/>
    <w:rsid w:val="005E6C68"/>
    <w:rsid w:val="005E731F"/>
    <w:rsid w:val="005E739A"/>
    <w:rsid w:val="005F12D3"/>
    <w:rsid w:val="005F18BB"/>
    <w:rsid w:val="005F1AD5"/>
    <w:rsid w:val="005F277D"/>
    <w:rsid w:val="005F47E0"/>
    <w:rsid w:val="005F4F49"/>
    <w:rsid w:val="005F6AB4"/>
    <w:rsid w:val="00600671"/>
    <w:rsid w:val="0060090A"/>
    <w:rsid w:val="00601119"/>
    <w:rsid w:val="00601816"/>
    <w:rsid w:val="00601C8F"/>
    <w:rsid w:val="00602028"/>
    <w:rsid w:val="00603EEB"/>
    <w:rsid w:val="006047CA"/>
    <w:rsid w:val="00604CAA"/>
    <w:rsid w:val="006051DD"/>
    <w:rsid w:val="00605705"/>
    <w:rsid w:val="00605D98"/>
    <w:rsid w:val="00606065"/>
    <w:rsid w:val="00606210"/>
    <w:rsid w:val="006062B4"/>
    <w:rsid w:val="00606CAB"/>
    <w:rsid w:val="006077A4"/>
    <w:rsid w:val="00607D6C"/>
    <w:rsid w:val="0061019B"/>
    <w:rsid w:val="006102AB"/>
    <w:rsid w:val="00610D04"/>
    <w:rsid w:val="006116B1"/>
    <w:rsid w:val="006117F5"/>
    <w:rsid w:val="0061205B"/>
    <w:rsid w:val="00612D18"/>
    <w:rsid w:val="00613DE1"/>
    <w:rsid w:val="00613FA0"/>
    <w:rsid w:val="0061448E"/>
    <w:rsid w:val="006145CD"/>
    <w:rsid w:val="00615115"/>
    <w:rsid w:val="006157D8"/>
    <w:rsid w:val="00620130"/>
    <w:rsid w:val="00621708"/>
    <w:rsid w:val="0062198F"/>
    <w:rsid w:val="006221B7"/>
    <w:rsid w:val="00622A3D"/>
    <w:rsid w:val="00623CAA"/>
    <w:rsid w:val="00625036"/>
    <w:rsid w:val="0062673E"/>
    <w:rsid w:val="00626C09"/>
    <w:rsid w:val="0063207A"/>
    <w:rsid w:val="006322AD"/>
    <w:rsid w:val="00632AA6"/>
    <w:rsid w:val="00633073"/>
    <w:rsid w:val="0063358C"/>
    <w:rsid w:val="00633FA9"/>
    <w:rsid w:val="0063539C"/>
    <w:rsid w:val="00635B74"/>
    <w:rsid w:val="00635BBC"/>
    <w:rsid w:val="00636834"/>
    <w:rsid w:val="00636E51"/>
    <w:rsid w:val="006371B5"/>
    <w:rsid w:val="00637C0D"/>
    <w:rsid w:val="00640368"/>
    <w:rsid w:val="0064049F"/>
    <w:rsid w:val="00641292"/>
    <w:rsid w:val="0064149F"/>
    <w:rsid w:val="00641CEB"/>
    <w:rsid w:val="0064314C"/>
    <w:rsid w:val="006436C6"/>
    <w:rsid w:val="006436F5"/>
    <w:rsid w:val="00643B51"/>
    <w:rsid w:val="00644A1B"/>
    <w:rsid w:val="0064554B"/>
    <w:rsid w:val="006461D9"/>
    <w:rsid w:val="00646B03"/>
    <w:rsid w:val="00646B67"/>
    <w:rsid w:val="00650600"/>
    <w:rsid w:val="006525A3"/>
    <w:rsid w:val="00652F7B"/>
    <w:rsid w:val="006544BF"/>
    <w:rsid w:val="0065476F"/>
    <w:rsid w:val="00654897"/>
    <w:rsid w:val="0065491A"/>
    <w:rsid w:val="006552F5"/>
    <w:rsid w:val="00655891"/>
    <w:rsid w:val="006558CD"/>
    <w:rsid w:val="00655DFE"/>
    <w:rsid w:val="006560D8"/>
    <w:rsid w:val="006563D2"/>
    <w:rsid w:val="00656734"/>
    <w:rsid w:val="00656AAE"/>
    <w:rsid w:val="00657163"/>
    <w:rsid w:val="006574C0"/>
    <w:rsid w:val="00660EC8"/>
    <w:rsid w:val="0066259E"/>
    <w:rsid w:val="00663CE8"/>
    <w:rsid w:val="00663F3C"/>
    <w:rsid w:val="006649AD"/>
    <w:rsid w:val="00664DAB"/>
    <w:rsid w:val="006665C5"/>
    <w:rsid w:val="00667BFD"/>
    <w:rsid w:val="00667FAE"/>
    <w:rsid w:val="00671CB6"/>
    <w:rsid w:val="00671E63"/>
    <w:rsid w:val="0067203B"/>
    <w:rsid w:val="006734CA"/>
    <w:rsid w:val="0067357F"/>
    <w:rsid w:val="00674123"/>
    <w:rsid w:val="00674644"/>
    <w:rsid w:val="00675AEB"/>
    <w:rsid w:val="00677A38"/>
    <w:rsid w:val="00677BBD"/>
    <w:rsid w:val="006800BC"/>
    <w:rsid w:val="006811A6"/>
    <w:rsid w:val="00681F3D"/>
    <w:rsid w:val="006829BB"/>
    <w:rsid w:val="00682AB6"/>
    <w:rsid w:val="00682BDA"/>
    <w:rsid w:val="00683BBF"/>
    <w:rsid w:val="00684A77"/>
    <w:rsid w:val="006851EA"/>
    <w:rsid w:val="00685774"/>
    <w:rsid w:val="006870D4"/>
    <w:rsid w:val="00690163"/>
    <w:rsid w:val="00690240"/>
    <w:rsid w:val="00690533"/>
    <w:rsid w:val="00690A99"/>
    <w:rsid w:val="006915D8"/>
    <w:rsid w:val="006919D2"/>
    <w:rsid w:val="00691E00"/>
    <w:rsid w:val="00693929"/>
    <w:rsid w:val="00695860"/>
    <w:rsid w:val="006A0539"/>
    <w:rsid w:val="006A13B2"/>
    <w:rsid w:val="006A17C9"/>
    <w:rsid w:val="006A4655"/>
    <w:rsid w:val="006A5537"/>
    <w:rsid w:val="006A63F5"/>
    <w:rsid w:val="006B0841"/>
    <w:rsid w:val="006B149F"/>
    <w:rsid w:val="006B20EF"/>
    <w:rsid w:val="006B2F93"/>
    <w:rsid w:val="006B3B22"/>
    <w:rsid w:val="006B4B07"/>
    <w:rsid w:val="006B5216"/>
    <w:rsid w:val="006B627C"/>
    <w:rsid w:val="006B63F6"/>
    <w:rsid w:val="006B74E2"/>
    <w:rsid w:val="006C0C15"/>
    <w:rsid w:val="006C1122"/>
    <w:rsid w:val="006C2072"/>
    <w:rsid w:val="006C2C4A"/>
    <w:rsid w:val="006C3F9E"/>
    <w:rsid w:val="006C562B"/>
    <w:rsid w:val="006C5C8D"/>
    <w:rsid w:val="006C5E74"/>
    <w:rsid w:val="006C7329"/>
    <w:rsid w:val="006C7CDA"/>
    <w:rsid w:val="006C7F00"/>
    <w:rsid w:val="006D1866"/>
    <w:rsid w:val="006D22E4"/>
    <w:rsid w:val="006D24E9"/>
    <w:rsid w:val="006D5B7A"/>
    <w:rsid w:val="006D63FD"/>
    <w:rsid w:val="006E0AB1"/>
    <w:rsid w:val="006E1FD4"/>
    <w:rsid w:val="006E385F"/>
    <w:rsid w:val="006E3DC6"/>
    <w:rsid w:val="006E4427"/>
    <w:rsid w:val="006E46B8"/>
    <w:rsid w:val="006E5348"/>
    <w:rsid w:val="006E5361"/>
    <w:rsid w:val="006E5B8A"/>
    <w:rsid w:val="006E76D4"/>
    <w:rsid w:val="006E7814"/>
    <w:rsid w:val="006F00FA"/>
    <w:rsid w:val="006F0787"/>
    <w:rsid w:val="006F07FB"/>
    <w:rsid w:val="006F11D0"/>
    <w:rsid w:val="006F2E1A"/>
    <w:rsid w:val="006F4CA7"/>
    <w:rsid w:val="006F55DB"/>
    <w:rsid w:val="006F67F8"/>
    <w:rsid w:val="006F7229"/>
    <w:rsid w:val="00702FD4"/>
    <w:rsid w:val="00703A04"/>
    <w:rsid w:val="00704363"/>
    <w:rsid w:val="00704F8F"/>
    <w:rsid w:val="00705C90"/>
    <w:rsid w:val="00706021"/>
    <w:rsid w:val="007063D7"/>
    <w:rsid w:val="00706D28"/>
    <w:rsid w:val="007074AD"/>
    <w:rsid w:val="00707E6F"/>
    <w:rsid w:val="00710336"/>
    <w:rsid w:val="00711042"/>
    <w:rsid w:val="007150FE"/>
    <w:rsid w:val="0071572C"/>
    <w:rsid w:val="00716395"/>
    <w:rsid w:val="00720835"/>
    <w:rsid w:val="00721842"/>
    <w:rsid w:val="00721E2C"/>
    <w:rsid w:val="007220B5"/>
    <w:rsid w:val="0072444D"/>
    <w:rsid w:val="00725390"/>
    <w:rsid w:val="00725657"/>
    <w:rsid w:val="00726BF7"/>
    <w:rsid w:val="0072794E"/>
    <w:rsid w:val="00732560"/>
    <w:rsid w:val="00733788"/>
    <w:rsid w:val="00733EBA"/>
    <w:rsid w:val="00734325"/>
    <w:rsid w:val="007359FF"/>
    <w:rsid w:val="00735FC9"/>
    <w:rsid w:val="00736857"/>
    <w:rsid w:val="00737104"/>
    <w:rsid w:val="00740191"/>
    <w:rsid w:val="00741240"/>
    <w:rsid w:val="00742560"/>
    <w:rsid w:val="00742569"/>
    <w:rsid w:val="00742E62"/>
    <w:rsid w:val="00744F79"/>
    <w:rsid w:val="00746F8C"/>
    <w:rsid w:val="007477D0"/>
    <w:rsid w:val="00747A9A"/>
    <w:rsid w:val="00750C71"/>
    <w:rsid w:val="00751BBD"/>
    <w:rsid w:val="00751FF1"/>
    <w:rsid w:val="00752844"/>
    <w:rsid w:val="00753933"/>
    <w:rsid w:val="00753A4E"/>
    <w:rsid w:val="00754512"/>
    <w:rsid w:val="00754946"/>
    <w:rsid w:val="00754B84"/>
    <w:rsid w:val="0075503D"/>
    <w:rsid w:val="007555CE"/>
    <w:rsid w:val="007566C0"/>
    <w:rsid w:val="00760E68"/>
    <w:rsid w:val="00761323"/>
    <w:rsid w:val="00762D27"/>
    <w:rsid w:val="00763A02"/>
    <w:rsid w:val="007643AF"/>
    <w:rsid w:val="0076518C"/>
    <w:rsid w:val="007656E9"/>
    <w:rsid w:val="00766DA7"/>
    <w:rsid w:val="00770FFC"/>
    <w:rsid w:val="00771236"/>
    <w:rsid w:val="007721CF"/>
    <w:rsid w:val="007725E2"/>
    <w:rsid w:val="00772D5A"/>
    <w:rsid w:val="00772E7A"/>
    <w:rsid w:val="0077568A"/>
    <w:rsid w:val="007764B4"/>
    <w:rsid w:val="007776E9"/>
    <w:rsid w:val="00777827"/>
    <w:rsid w:val="00780348"/>
    <w:rsid w:val="00781A1D"/>
    <w:rsid w:val="00783394"/>
    <w:rsid w:val="00783722"/>
    <w:rsid w:val="007847FA"/>
    <w:rsid w:val="00784C89"/>
    <w:rsid w:val="0078692E"/>
    <w:rsid w:val="00786EAE"/>
    <w:rsid w:val="0078701E"/>
    <w:rsid w:val="00787C53"/>
    <w:rsid w:val="00790473"/>
    <w:rsid w:val="00792D49"/>
    <w:rsid w:val="00794028"/>
    <w:rsid w:val="00794463"/>
    <w:rsid w:val="00794537"/>
    <w:rsid w:val="00794856"/>
    <w:rsid w:val="00794B82"/>
    <w:rsid w:val="00795B48"/>
    <w:rsid w:val="007962B1"/>
    <w:rsid w:val="00796417"/>
    <w:rsid w:val="00796954"/>
    <w:rsid w:val="007976B0"/>
    <w:rsid w:val="007A0189"/>
    <w:rsid w:val="007A1ACC"/>
    <w:rsid w:val="007A1C97"/>
    <w:rsid w:val="007A2B0B"/>
    <w:rsid w:val="007A41B0"/>
    <w:rsid w:val="007A43F4"/>
    <w:rsid w:val="007A446B"/>
    <w:rsid w:val="007A56E1"/>
    <w:rsid w:val="007A6C58"/>
    <w:rsid w:val="007A7A6C"/>
    <w:rsid w:val="007A7C59"/>
    <w:rsid w:val="007B0491"/>
    <w:rsid w:val="007B148E"/>
    <w:rsid w:val="007B1B23"/>
    <w:rsid w:val="007B2AAC"/>
    <w:rsid w:val="007B2DCB"/>
    <w:rsid w:val="007B2E23"/>
    <w:rsid w:val="007B347E"/>
    <w:rsid w:val="007B414B"/>
    <w:rsid w:val="007B42A6"/>
    <w:rsid w:val="007B431B"/>
    <w:rsid w:val="007B49E7"/>
    <w:rsid w:val="007B4FD4"/>
    <w:rsid w:val="007B6872"/>
    <w:rsid w:val="007B6AEC"/>
    <w:rsid w:val="007B74E5"/>
    <w:rsid w:val="007B76AD"/>
    <w:rsid w:val="007C062F"/>
    <w:rsid w:val="007C145D"/>
    <w:rsid w:val="007C281A"/>
    <w:rsid w:val="007C2948"/>
    <w:rsid w:val="007C3271"/>
    <w:rsid w:val="007C37D4"/>
    <w:rsid w:val="007C4844"/>
    <w:rsid w:val="007C512D"/>
    <w:rsid w:val="007C5231"/>
    <w:rsid w:val="007C5802"/>
    <w:rsid w:val="007C7796"/>
    <w:rsid w:val="007D086C"/>
    <w:rsid w:val="007D0C0B"/>
    <w:rsid w:val="007D0DF6"/>
    <w:rsid w:val="007D2A05"/>
    <w:rsid w:val="007D498F"/>
    <w:rsid w:val="007D4A0E"/>
    <w:rsid w:val="007D4F60"/>
    <w:rsid w:val="007D51E6"/>
    <w:rsid w:val="007D5DE3"/>
    <w:rsid w:val="007D717C"/>
    <w:rsid w:val="007D7C28"/>
    <w:rsid w:val="007D7E4A"/>
    <w:rsid w:val="007D7E6D"/>
    <w:rsid w:val="007D7F9F"/>
    <w:rsid w:val="007E06C2"/>
    <w:rsid w:val="007E1353"/>
    <w:rsid w:val="007E2DD6"/>
    <w:rsid w:val="007E38C4"/>
    <w:rsid w:val="007E3DF7"/>
    <w:rsid w:val="007E5454"/>
    <w:rsid w:val="007E5D75"/>
    <w:rsid w:val="007E5F10"/>
    <w:rsid w:val="007E6FC2"/>
    <w:rsid w:val="007E7F47"/>
    <w:rsid w:val="007F0070"/>
    <w:rsid w:val="007F0778"/>
    <w:rsid w:val="007F0C1E"/>
    <w:rsid w:val="007F2799"/>
    <w:rsid w:val="007F2A2A"/>
    <w:rsid w:val="007F2CD6"/>
    <w:rsid w:val="007F2D3B"/>
    <w:rsid w:val="007F3272"/>
    <w:rsid w:val="007F375C"/>
    <w:rsid w:val="007F3D9A"/>
    <w:rsid w:val="007F52ED"/>
    <w:rsid w:val="007F53D8"/>
    <w:rsid w:val="007F5A7D"/>
    <w:rsid w:val="007F7854"/>
    <w:rsid w:val="0080043D"/>
    <w:rsid w:val="008015BD"/>
    <w:rsid w:val="00802E5D"/>
    <w:rsid w:val="00804727"/>
    <w:rsid w:val="00804FDB"/>
    <w:rsid w:val="00805450"/>
    <w:rsid w:val="00805E6C"/>
    <w:rsid w:val="00806EE2"/>
    <w:rsid w:val="008100C0"/>
    <w:rsid w:val="00810379"/>
    <w:rsid w:val="00810381"/>
    <w:rsid w:val="00810801"/>
    <w:rsid w:val="008113C5"/>
    <w:rsid w:val="00812737"/>
    <w:rsid w:val="008138D7"/>
    <w:rsid w:val="00813997"/>
    <w:rsid w:val="00813C4A"/>
    <w:rsid w:val="00814132"/>
    <w:rsid w:val="008143A6"/>
    <w:rsid w:val="00815A58"/>
    <w:rsid w:val="00815B00"/>
    <w:rsid w:val="00816060"/>
    <w:rsid w:val="008172DE"/>
    <w:rsid w:val="00820B26"/>
    <w:rsid w:val="00820BA1"/>
    <w:rsid w:val="008215FD"/>
    <w:rsid w:val="00821921"/>
    <w:rsid w:val="008219E0"/>
    <w:rsid w:val="0082245F"/>
    <w:rsid w:val="00822A55"/>
    <w:rsid w:val="00822DFC"/>
    <w:rsid w:val="008250FB"/>
    <w:rsid w:val="00827302"/>
    <w:rsid w:val="0083100E"/>
    <w:rsid w:val="0083173F"/>
    <w:rsid w:val="008334B6"/>
    <w:rsid w:val="008336D3"/>
    <w:rsid w:val="008339DA"/>
    <w:rsid w:val="0083407E"/>
    <w:rsid w:val="00836CD8"/>
    <w:rsid w:val="00837158"/>
    <w:rsid w:val="00837C3E"/>
    <w:rsid w:val="00837F5F"/>
    <w:rsid w:val="008407A9"/>
    <w:rsid w:val="00841971"/>
    <w:rsid w:val="008422F2"/>
    <w:rsid w:val="00842399"/>
    <w:rsid w:val="00844DF0"/>
    <w:rsid w:val="008451A9"/>
    <w:rsid w:val="0084611F"/>
    <w:rsid w:val="008469F4"/>
    <w:rsid w:val="00846A48"/>
    <w:rsid w:val="0084775A"/>
    <w:rsid w:val="0085028E"/>
    <w:rsid w:val="00850D08"/>
    <w:rsid w:val="00851AB9"/>
    <w:rsid w:val="00852BBF"/>
    <w:rsid w:val="0085406A"/>
    <w:rsid w:val="008552B4"/>
    <w:rsid w:val="00856E53"/>
    <w:rsid w:val="008574A4"/>
    <w:rsid w:val="00857D41"/>
    <w:rsid w:val="00857F13"/>
    <w:rsid w:val="00860C01"/>
    <w:rsid w:val="00861179"/>
    <w:rsid w:val="00861A27"/>
    <w:rsid w:val="00861A52"/>
    <w:rsid w:val="008620F7"/>
    <w:rsid w:val="008622B0"/>
    <w:rsid w:val="008653F0"/>
    <w:rsid w:val="00866394"/>
    <w:rsid w:val="00866C42"/>
    <w:rsid w:val="00866E1F"/>
    <w:rsid w:val="00867C8E"/>
    <w:rsid w:val="008702B1"/>
    <w:rsid w:val="008704BA"/>
    <w:rsid w:val="008719E4"/>
    <w:rsid w:val="00872038"/>
    <w:rsid w:val="00872327"/>
    <w:rsid w:val="00873196"/>
    <w:rsid w:val="00873335"/>
    <w:rsid w:val="00873674"/>
    <w:rsid w:val="00874483"/>
    <w:rsid w:val="0087452C"/>
    <w:rsid w:val="008763D3"/>
    <w:rsid w:val="00876953"/>
    <w:rsid w:val="00876D83"/>
    <w:rsid w:val="00880012"/>
    <w:rsid w:val="008801E6"/>
    <w:rsid w:val="008804AB"/>
    <w:rsid w:val="00880787"/>
    <w:rsid w:val="00880970"/>
    <w:rsid w:val="00880F50"/>
    <w:rsid w:val="008824BF"/>
    <w:rsid w:val="00882888"/>
    <w:rsid w:val="00882AF8"/>
    <w:rsid w:val="00883393"/>
    <w:rsid w:val="00883465"/>
    <w:rsid w:val="00883E76"/>
    <w:rsid w:val="00884024"/>
    <w:rsid w:val="0088471C"/>
    <w:rsid w:val="00885EBF"/>
    <w:rsid w:val="00885F3A"/>
    <w:rsid w:val="008861E2"/>
    <w:rsid w:val="008864D2"/>
    <w:rsid w:val="00886583"/>
    <w:rsid w:val="00886DE2"/>
    <w:rsid w:val="0089208C"/>
    <w:rsid w:val="008928A8"/>
    <w:rsid w:val="0089294C"/>
    <w:rsid w:val="008942EB"/>
    <w:rsid w:val="0089480E"/>
    <w:rsid w:val="00896961"/>
    <w:rsid w:val="00896AC2"/>
    <w:rsid w:val="00896ACE"/>
    <w:rsid w:val="00897DFE"/>
    <w:rsid w:val="008A0033"/>
    <w:rsid w:val="008A22C0"/>
    <w:rsid w:val="008A29F3"/>
    <w:rsid w:val="008A3749"/>
    <w:rsid w:val="008A38E9"/>
    <w:rsid w:val="008A3AA6"/>
    <w:rsid w:val="008A52FB"/>
    <w:rsid w:val="008A699A"/>
    <w:rsid w:val="008A74D4"/>
    <w:rsid w:val="008B070A"/>
    <w:rsid w:val="008B0AC6"/>
    <w:rsid w:val="008B118A"/>
    <w:rsid w:val="008B1209"/>
    <w:rsid w:val="008B178C"/>
    <w:rsid w:val="008B6237"/>
    <w:rsid w:val="008B63FF"/>
    <w:rsid w:val="008B679C"/>
    <w:rsid w:val="008B7FAA"/>
    <w:rsid w:val="008C0343"/>
    <w:rsid w:val="008C1B15"/>
    <w:rsid w:val="008C2D26"/>
    <w:rsid w:val="008C3376"/>
    <w:rsid w:val="008C354F"/>
    <w:rsid w:val="008C4CEA"/>
    <w:rsid w:val="008C5A2A"/>
    <w:rsid w:val="008C5BBE"/>
    <w:rsid w:val="008C663C"/>
    <w:rsid w:val="008C6D51"/>
    <w:rsid w:val="008C7299"/>
    <w:rsid w:val="008C7822"/>
    <w:rsid w:val="008C7F3F"/>
    <w:rsid w:val="008D0CE1"/>
    <w:rsid w:val="008D0D10"/>
    <w:rsid w:val="008D1C6F"/>
    <w:rsid w:val="008D1F00"/>
    <w:rsid w:val="008D2118"/>
    <w:rsid w:val="008D23D6"/>
    <w:rsid w:val="008D3625"/>
    <w:rsid w:val="008D3A60"/>
    <w:rsid w:val="008D4541"/>
    <w:rsid w:val="008D4AFA"/>
    <w:rsid w:val="008D59F3"/>
    <w:rsid w:val="008E01B4"/>
    <w:rsid w:val="008E14B0"/>
    <w:rsid w:val="008E1B0D"/>
    <w:rsid w:val="008E1FAF"/>
    <w:rsid w:val="008E356C"/>
    <w:rsid w:val="008E37AF"/>
    <w:rsid w:val="008E42C8"/>
    <w:rsid w:val="008E4537"/>
    <w:rsid w:val="008E4BFA"/>
    <w:rsid w:val="008E6054"/>
    <w:rsid w:val="008E7FFA"/>
    <w:rsid w:val="008F01AC"/>
    <w:rsid w:val="008F0E56"/>
    <w:rsid w:val="008F1983"/>
    <w:rsid w:val="008F1B0E"/>
    <w:rsid w:val="008F2256"/>
    <w:rsid w:val="008F2D6D"/>
    <w:rsid w:val="008F2D77"/>
    <w:rsid w:val="008F35BA"/>
    <w:rsid w:val="008F3668"/>
    <w:rsid w:val="008F47D9"/>
    <w:rsid w:val="008F4E48"/>
    <w:rsid w:val="008F5364"/>
    <w:rsid w:val="008F5DDD"/>
    <w:rsid w:val="008F70E9"/>
    <w:rsid w:val="00900306"/>
    <w:rsid w:val="009008A4"/>
    <w:rsid w:val="009008B3"/>
    <w:rsid w:val="00900A4C"/>
    <w:rsid w:val="00900CB7"/>
    <w:rsid w:val="00901D0D"/>
    <w:rsid w:val="00902682"/>
    <w:rsid w:val="00903882"/>
    <w:rsid w:val="00903B45"/>
    <w:rsid w:val="00903C8D"/>
    <w:rsid w:val="00903FFA"/>
    <w:rsid w:val="00904AD9"/>
    <w:rsid w:val="0090673F"/>
    <w:rsid w:val="0090730F"/>
    <w:rsid w:val="009078C7"/>
    <w:rsid w:val="00907EE8"/>
    <w:rsid w:val="0091211E"/>
    <w:rsid w:val="00912E78"/>
    <w:rsid w:val="00913D57"/>
    <w:rsid w:val="009145E1"/>
    <w:rsid w:val="0091487C"/>
    <w:rsid w:val="009153D7"/>
    <w:rsid w:val="00915451"/>
    <w:rsid w:val="00916544"/>
    <w:rsid w:val="00920E25"/>
    <w:rsid w:val="00920F02"/>
    <w:rsid w:val="009211FF"/>
    <w:rsid w:val="00921458"/>
    <w:rsid w:val="00921A79"/>
    <w:rsid w:val="00924665"/>
    <w:rsid w:val="00924CCD"/>
    <w:rsid w:val="00924DAE"/>
    <w:rsid w:val="009250BC"/>
    <w:rsid w:val="0092571E"/>
    <w:rsid w:val="00925DF4"/>
    <w:rsid w:val="00926577"/>
    <w:rsid w:val="009271B9"/>
    <w:rsid w:val="00927294"/>
    <w:rsid w:val="009279B7"/>
    <w:rsid w:val="009307C1"/>
    <w:rsid w:val="00930DDA"/>
    <w:rsid w:val="00930E66"/>
    <w:rsid w:val="00931D24"/>
    <w:rsid w:val="00933696"/>
    <w:rsid w:val="00934863"/>
    <w:rsid w:val="009355A3"/>
    <w:rsid w:val="009355CE"/>
    <w:rsid w:val="00935869"/>
    <w:rsid w:val="00935C2B"/>
    <w:rsid w:val="00936201"/>
    <w:rsid w:val="0093621B"/>
    <w:rsid w:val="00936690"/>
    <w:rsid w:val="009368B9"/>
    <w:rsid w:val="0093734D"/>
    <w:rsid w:val="00937DCD"/>
    <w:rsid w:val="00937EE8"/>
    <w:rsid w:val="00940061"/>
    <w:rsid w:val="00941030"/>
    <w:rsid w:val="00941393"/>
    <w:rsid w:val="009417BE"/>
    <w:rsid w:val="00941D3C"/>
    <w:rsid w:val="00942852"/>
    <w:rsid w:val="00942B5D"/>
    <w:rsid w:val="00943852"/>
    <w:rsid w:val="00945444"/>
    <w:rsid w:val="00945C43"/>
    <w:rsid w:val="00946BA3"/>
    <w:rsid w:val="009501A8"/>
    <w:rsid w:val="00951337"/>
    <w:rsid w:val="0095150D"/>
    <w:rsid w:val="009527AE"/>
    <w:rsid w:val="00952FA4"/>
    <w:rsid w:val="009536B0"/>
    <w:rsid w:val="0095488B"/>
    <w:rsid w:val="00955575"/>
    <w:rsid w:val="009560F1"/>
    <w:rsid w:val="009566B1"/>
    <w:rsid w:val="0095746F"/>
    <w:rsid w:val="00957E72"/>
    <w:rsid w:val="00960585"/>
    <w:rsid w:val="00960609"/>
    <w:rsid w:val="00962B60"/>
    <w:rsid w:val="00962FD0"/>
    <w:rsid w:val="00963FD9"/>
    <w:rsid w:val="0096445C"/>
    <w:rsid w:val="0096489C"/>
    <w:rsid w:val="00966AF4"/>
    <w:rsid w:val="009672CE"/>
    <w:rsid w:val="00967610"/>
    <w:rsid w:val="009701E2"/>
    <w:rsid w:val="00970BD9"/>
    <w:rsid w:val="009714C6"/>
    <w:rsid w:val="00971622"/>
    <w:rsid w:val="00974376"/>
    <w:rsid w:val="00975185"/>
    <w:rsid w:val="00975D68"/>
    <w:rsid w:val="0097672C"/>
    <w:rsid w:val="00977FA2"/>
    <w:rsid w:val="00982108"/>
    <w:rsid w:val="0098274B"/>
    <w:rsid w:val="009831EE"/>
    <w:rsid w:val="00983B3B"/>
    <w:rsid w:val="00984101"/>
    <w:rsid w:val="009842C7"/>
    <w:rsid w:val="009845CE"/>
    <w:rsid w:val="00985AB2"/>
    <w:rsid w:val="009861A6"/>
    <w:rsid w:val="009867D8"/>
    <w:rsid w:val="00987041"/>
    <w:rsid w:val="0098712C"/>
    <w:rsid w:val="00990185"/>
    <w:rsid w:val="00990E09"/>
    <w:rsid w:val="00991111"/>
    <w:rsid w:val="0099151B"/>
    <w:rsid w:val="009922BA"/>
    <w:rsid w:val="009923DA"/>
    <w:rsid w:val="00994870"/>
    <w:rsid w:val="00994A13"/>
    <w:rsid w:val="009A0828"/>
    <w:rsid w:val="009A09D5"/>
    <w:rsid w:val="009A1A8C"/>
    <w:rsid w:val="009A23B4"/>
    <w:rsid w:val="009A40E5"/>
    <w:rsid w:val="009A4CFA"/>
    <w:rsid w:val="009A5EF9"/>
    <w:rsid w:val="009A632C"/>
    <w:rsid w:val="009A6CDB"/>
    <w:rsid w:val="009A706F"/>
    <w:rsid w:val="009A7BE7"/>
    <w:rsid w:val="009B0811"/>
    <w:rsid w:val="009B0901"/>
    <w:rsid w:val="009B0EB9"/>
    <w:rsid w:val="009B2D0B"/>
    <w:rsid w:val="009B3A5F"/>
    <w:rsid w:val="009B4472"/>
    <w:rsid w:val="009B51FC"/>
    <w:rsid w:val="009B5E38"/>
    <w:rsid w:val="009B68B3"/>
    <w:rsid w:val="009B7416"/>
    <w:rsid w:val="009B7A60"/>
    <w:rsid w:val="009C0243"/>
    <w:rsid w:val="009C02D7"/>
    <w:rsid w:val="009C1C2F"/>
    <w:rsid w:val="009C36B5"/>
    <w:rsid w:val="009C39AA"/>
    <w:rsid w:val="009C419D"/>
    <w:rsid w:val="009C41A1"/>
    <w:rsid w:val="009C49D4"/>
    <w:rsid w:val="009C55C9"/>
    <w:rsid w:val="009C6048"/>
    <w:rsid w:val="009C6AC2"/>
    <w:rsid w:val="009D054E"/>
    <w:rsid w:val="009D0C28"/>
    <w:rsid w:val="009D3251"/>
    <w:rsid w:val="009D43B2"/>
    <w:rsid w:val="009D4406"/>
    <w:rsid w:val="009D47E8"/>
    <w:rsid w:val="009D530D"/>
    <w:rsid w:val="009D54B5"/>
    <w:rsid w:val="009D5569"/>
    <w:rsid w:val="009D5587"/>
    <w:rsid w:val="009D64E4"/>
    <w:rsid w:val="009E1901"/>
    <w:rsid w:val="009E1D30"/>
    <w:rsid w:val="009E5451"/>
    <w:rsid w:val="009E564C"/>
    <w:rsid w:val="009E5C17"/>
    <w:rsid w:val="009E6735"/>
    <w:rsid w:val="009F1FB1"/>
    <w:rsid w:val="009F2468"/>
    <w:rsid w:val="009F3087"/>
    <w:rsid w:val="009F4500"/>
    <w:rsid w:val="009F46AC"/>
    <w:rsid w:val="009F6144"/>
    <w:rsid w:val="009F6576"/>
    <w:rsid w:val="009F6C7C"/>
    <w:rsid w:val="00A00ADA"/>
    <w:rsid w:val="00A0137C"/>
    <w:rsid w:val="00A0281D"/>
    <w:rsid w:val="00A03456"/>
    <w:rsid w:val="00A03551"/>
    <w:rsid w:val="00A03A20"/>
    <w:rsid w:val="00A03B37"/>
    <w:rsid w:val="00A04A2B"/>
    <w:rsid w:val="00A06A35"/>
    <w:rsid w:val="00A06E52"/>
    <w:rsid w:val="00A106F9"/>
    <w:rsid w:val="00A10EDC"/>
    <w:rsid w:val="00A10F44"/>
    <w:rsid w:val="00A116DE"/>
    <w:rsid w:val="00A13B11"/>
    <w:rsid w:val="00A152B0"/>
    <w:rsid w:val="00A16C69"/>
    <w:rsid w:val="00A17253"/>
    <w:rsid w:val="00A220E7"/>
    <w:rsid w:val="00A255E6"/>
    <w:rsid w:val="00A25773"/>
    <w:rsid w:val="00A25CC0"/>
    <w:rsid w:val="00A27645"/>
    <w:rsid w:val="00A27860"/>
    <w:rsid w:val="00A318B5"/>
    <w:rsid w:val="00A31CB6"/>
    <w:rsid w:val="00A31E8B"/>
    <w:rsid w:val="00A3224C"/>
    <w:rsid w:val="00A32278"/>
    <w:rsid w:val="00A32AA1"/>
    <w:rsid w:val="00A32E90"/>
    <w:rsid w:val="00A33F5F"/>
    <w:rsid w:val="00A34147"/>
    <w:rsid w:val="00A34958"/>
    <w:rsid w:val="00A34FAC"/>
    <w:rsid w:val="00A358BD"/>
    <w:rsid w:val="00A37310"/>
    <w:rsid w:val="00A37DEC"/>
    <w:rsid w:val="00A407A7"/>
    <w:rsid w:val="00A40915"/>
    <w:rsid w:val="00A4113E"/>
    <w:rsid w:val="00A4498A"/>
    <w:rsid w:val="00A44F0A"/>
    <w:rsid w:val="00A44FAB"/>
    <w:rsid w:val="00A453DC"/>
    <w:rsid w:val="00A459F9"/>
    <w:rsid w:val="00A47D4E"/>
    <w:rsid w:val="00A50604"/>
    <w:rsid w:val="00A50F6C"/>
    <w:rsid w:val="00A5149A"/>
    <w:rsid w:val="00A51C32"/>
    <w:rsid w:val="00A52333"/>
    <w:rsid w:val="00A536CF"/>
    <w:rsid w:val="00A55163"/>
    <w:rsid w:val="00A552CC"/>
    <w:rsid w:val="00A56079"/>
    <w:rsid w:val="00A5777B"/>
    <w:rsid w:val="00A60DEE"/>
    <w:rsid w:val="00A60E0C"/>
    <w:rsid w:val="00A61128"/>
    <w:rsid w:val="00A61C89"/>
    <w:rsid w:val="00A6208A"/>
    <w:rsid w:val="00A62AA3"/>
    <w:rsid w:val="00A62AFD"/>
    <w:rsid w:val="00A62B79"/>
    <w:rsid w:val="00A62D20"/>
    <w:rsid w:val="00A634E0"/>
    <w:rsid w:val="00A63D76"/>
    <w:rsid w:val="00A65129"/>
    <w:rsid w:val="00A655D0"/>
    <w:rsid w:val="00A66008"/>
    <w:rsid w:val="00A66A32"/>
    <w:rsid w:val="00A6781A"/>
    <w:rsid w:val="00A703C5"/>
    <w:rsid w:val="00A71001"/>
    <w:rsid w:val="00A710E4"/>
    <w:rsid w:val="00A715D9"/>
    <w:rsid w:val="00A72512"/>
    <w:rsid w:val="00A73F70"/>
    <w:rsid w:val="00A74127"/>
    <w:rsid w:val="00A7532C"/>
    <w:rsid w:val="00A767B2"/>
    <w:rsid w:val="00A767B7"/>
    <w:rsid w:val="00A76809"/>
    <w:rsid w:val="00A80563"/>
    <w:rsid w:val="00A80AD3"/>
    <w:rsid w:val="00A80F5D"/>
    <w:rsid w:val="00A8199C"/>
    <w:rsid w:val="00A822A9"/>
    <w:rsid w:val="00A8349B"/>
    <w:rsid w:val="00A8478F"/>
    <w:rsid w:val="00A859AC"/>
    <w:rsid w:val="00A86346"/>
    <w:rsid w:val="00A87887"/>
    <w:rsid w:val="00A90FAF"/>
    <w:rsid w:val="00A917E0"/>
    <w:rsid w:val="00A9420C"/>
    <w:rsid w:val="00A955E0"/>
    <w:rsid w:val="00A95660"/>
    <w:rsid w:val="00A95A64"/>
    <w:rsid w:val="00A96642"/>
    <w:rsid w:val="00A968AD"/>
    <w:rsid w:val="00A97204"/>
    <w:rsid w:val="00AA0A37"/>
    <w:rsid w:val="00AA1004"/>
    <w:rsid w:val="00AA2439"/>
    <w:rsid w:val="00AA2C48"/>
    <w:rsid w:val="00AA3E0B"/>
    <w:rsid w:val="00AA4354"/>
    <w:rsid w:val="00AA44D0"/>
    <w:rsid w:val="00AA5281"/>
    <w:rsid w:val="00AA5557"/>
    <w:rsid w:val="00AA5652"/>
    <w:rsid w:val="00AA6158"/>
    <w:rsid w:val="00AA65C6"/>
    <w:rsid w:val="00AA689E"/>
    <w:rsid w:val="00AA7CC5"/>
    <w:rsid w:val="00AB017B"/>
    <w:rsid w:val="00AB0AE8"/>
    <w:rsid w:val="00AB146A"/>
    <w:rsid w:val="00AB1FA2"/>
    <w:rsid w:val="00AB319C"/>
    <w:rsid w:val="00AB4CFB"/>
    <w:rsid w:val="00AB5E7B"/>
    <w:rsid w:val="00AC0CB5"/>
    <w:rsid w:val="00AC0DAA"/>
    <w:rsid w:val="00AC144E"/>
    <w:rsid w:val="00AC1B70"/>
    <w:rsid w:val="00AC1E6E"/>
    <w:rsid w:val="00AC2774"/>
    <w:rsid w:val="00AC2B88"/>
    <w:rsid w:val="00AC313D"/>
    <w:rsid w:val="00AC3469"/>
    <w:rsid w:val="00AC4181"/>
    <w:rsid w:val="00AC5708"/>
    <w:rsid w:val="00AC7000"/>
    <w:rsid w:val="00AC7A13"/>
    <w:rsid w:val="00AC7AC2"/>
    <w:rsid w:val="00AC7D1F"/>
    <w:rsid w:val="00AD0026"/>
    <w:rsid w:val="00AD170C"/>
    <w:rsid w:val="00AD22D5"/>
    <w:rsid w:val="00AD2C4B"/>
    <w:rsid w:val="00AD31C3"/>
    <w:rsid w:val="00AD3B6D"/>
    <w:rsid w:val="00AD43E3"/>
    <w:rsid w:val="00AD445C"/>
    <w:rsid w:val="00AD5426"/>
    <w:rsid w:val="00AD6469"/>
    <w:rsid w:val="00AD6A3F"/>
    <w:rsid w:val="00AD6CFB"/>
    <w:rsid w:val="00AD6DC8"/>
    <w:rsid w:val="00AD77CB"/>
    <w:rsid w:val="00AE0006"/>
    <w:rsid w:val="00AE0C10"/>
    <w:rsid w:val="00AE0DA9"/>
    <w:rsid w:val="00AE0E39"/>
    <w:rsid w:val="00AE1369"/>
    <w:rsid w:val="00AE3352"/>
    <w:rsid w:val="00AE3BB6"/>
    <w:rsid w:val="00AE6878"/>
    <w:rsid w:val="00AE6C14"/>
    <w:rsid w:val="00AF0C49"/>
    <w:rsid w:val="00AF1566"/>
    <w:rsid w:val="00AF230C"/>
    <w:rsid w:val="00AF2AA7"/>
    <w:rsid w:val="00AF5C81"/>
    <w:rsid w:val="00AF5F6C"/>
    <w:rsid w:val="00AF617D"/>
    <w:rsid w:val="00AF6621"/>
    <w:rsid w:val="00AF7031"/>
    <w:rsid w:val="00AF743E"/>
    <w:rsid w:val="00AF7729"/>
    <w:rsid w:val="00B006BC"/>
    <w:rsid w:val="00B015CB"/>
    <w:rsid w:val="00B02E95"/>
    <w:rsid w:val="00B03125"/>
    <w:rsid w:val="00B04372"/>
    <w:rsid w:val="00B11CB6"/>
    <w:rsid w:val="00B14BBC"/>
    <w:rsid w:val="00B15F14"/>
    <w:rsid w:val="00B167A0"/>
    <w:rsid w:val="00B1731C"/>
    <w:rsid w:val="00B17A81"/>
    <w:rsid w:val="00B20A16"/>
    <w:rsid w:val="00B228A0"/>
    <w:rsid w:val="00B24293"/>
    <w:rsid w:val="00B24ECB"/>
    <w:rsid w:val="00B24FE8"/>
    <w:rsid w:val="00B26CD2"/>
    <w:rsid w:val="00B272D3"/>
    <w:rsid w:val="00B315CE"/>
    <w:rsid w:val="00B32D5C"/>
    <w:rsid w:val="00B33C9A"/>
    <w:rsid w:val="00B3477C"/>
    <w:rsid w:val="00B3536A"/>
    <w:rsid w:val="00B35A90"/>
    <w:rsid w:val="00B36900"/>
    <w:rsid w:val="00B36FBC"/>
    <w:rsid w:val="00B37E3F"/>
    <w:rsid w:val="00B40DDD"/>
    <w:rsid w:val="00B416F6"/>
    <w:rsid w:val="00B41DEB"/>
    <w:rsid w:val="00B451E9"/>
    <w:rsid w:val="00B4541E"/>
    <w:rsid w:val="00B46B6B"/>
    <w:rsid w:val="00B474C3"/>
    <w:rsid w:val="00B47D66"/>
    <w:rsid w:val="00B50012"/>
    <w:rsid w:val="00B5031D"/>
    <w:rsid w:val="00B50376"/>
    <w:rsid w:val="00B50500"/>
    <w:rsid w:val="00B5145D"/>
    <w:rsid w:val="00B51BA3"/>
    <w:rsid w:val="00B5259D"/>
    <w:rsid w:val="00B5336D"/>
    <w:rsid w:val="00B545AF"/>
    <w:rsid w:val="00B54E89"/>
    <w:rsid w:val="00B55F84"/>
    <w:rsid w:val="00B568DE"/>
    <w:rsid w:val="00B56D3F"/>
    <w:rsid w:val="00B56E1E"/>
    <w:rsid w:val="00B57A24"/>
    <w:rsid w:val="00B57BC4"/>
    <w:rsid w:val="00B61664"/>
    <w:rsid w:val="00B6201E"/>
    <w:rsid w:val="00B620E5"/>
    <w:rsid w:val="00B62B48"/>
    <w:rsid w:val="00B665E6"/>
    <w:rsid w:val="00B6736A"/>
    <w:rsid w:val="00B674B5"/>
    <w:rsid w:val="00B7082C"/>
    <w:rsid w:val="00B711BE"/>
    <w:rsid w:val="00B72ABB"/>
    <w:rsid w:val="00B73371"/>
    <w:rsid w:val="00B75CC9"/>
    <w:rsid w:val="00B76666"/>
    <w:rsid w:val="00B776EC"/>
    <w:rsid w:val="00B7794B"/>
    <w:rsid w:val="00B818DF"/>
    <w:rsid w:val="00B829C5"/>
    <w:rsid w:val="00B8397A"/>
    <w:rsid w:val="00B851F5"/>
    <w:rsid w:val="00B8692E"/>
    <w:rsid w:val="00B86FCE"/>
    <w:rsid w:val="00B8773A"/>
    <w:rsid w:val="00B87D0A"/>
    <w:rsid w:val="00B91014"/>
    <w:rsid w:val="00B929DA"/>
    <w:rsid w:val="00B92C63"/>
    <w:rsid w:val="00B95E94"/>
    <w:rsid w:val="00BA0115"/>
    <w:rsid w:val="00BA0AB8"/>
    <w:rsid w:val="00BA0B83"/>
    <w:rsid w:val="00BA12DF"/>
    <w:rsid w:val="00BA12FE"/>
    <w:rsid w:val="00BA1AFD"/>
    <w:rsid w:val="00BA228B"/>
    <w:rsid w:val="00BA2D91"/>
    <w:rsid w:val="00BA4B88"/>
    <w:rsid w:val="00BA584E"/>
    <w:rsid w:val="00BA7649"/>
    <w:rsid w:val="00BA7AAB"/>
    <w:rsid w:val="00BA7D50"/>
    <w:rsid w:val="00BB1D86"/>
    <w:rsid w:val="00BB285E"/>
    <w:rsid w:val="00BB341D"/>
    <w:rsid w:val="00BB40A1"/>
    <w:rsid w:val="00BB40B3"/>
    <w:rsid w:val="00BB591B"/>
    <w:rsid w:val="00BB6D3A"/>
    <w:rsid w:val="00BB7688"/>
    <w:rsid w:val="00BB7A68"/>
    <w:rsid w:val="00BC0ADA"/>
    <w:rsid w:val="00BC249A"/>
    <w:rsid w:val="00BC2983"/>
    <w:rsid w:val="00BC2A56"/>
    <w:rsid w:val="00BC31A3"/>
    <w:rsid w:val="00BC3746"/>
    <w:rsid w:val="00BC471A"/>
    <w:rsid w:val="00BC542A"/>
    <w:rsid w:val="00BC7865"/>
    <w:rsid w:val="00BD03F9"/>
    <w:rsid w:val="00BD04E7"/>
    <w:rsid w:val="00BD0BC0"/>
    <w:rsid w:val="00BD1760"/>
    <w:rsid w:val="00BD21E6"/>
    <w:rsid w:val="00BD39F6"/>
    <w:rsid w:val="00BD45EA"/>
    <w:rsid w:val="00BD4D92"/>
    <w:rsid w:val="00BD551C"/>
    <w:rsid w:val="00BD582C"/>
    <w:rsid w:val="00BD6EA3"/>
    <w:rsid w:val="00BD7F4A"/>
    <w:rsid w:val="00BE02D0"/>
    <w:rsid w:val="00BE0533"/>
    <w:rsid w:val="00BE0F7E"/>
    <w:rsid w:val="00BE1038"/>
    <w:rsid w:val="00BE14B4"/>
    <w:rsid w:val="00BE230E"/>
    <w:rsid w:val="00BE24A6"/>
    <w:rsid w:val="00BE34FB"/>
    <w:rsid w:val="00BE440D"/>
    <w:rsid w:val="00BE5EE1"/>
    <w:rsid w:val="00BE7ACD"/>
    <w:rsid w:val="00BF08A8"/>
    <w:rsid w:val="00BF1164"/>
    <w:rsid w:val="00BF16DE"/>
    <w:rsid w:val="00BF2567"/>
    <w:rsid w:val="00BF25A0"/>
    <w:rsid w:val="00BF372B"/>
    <w:rsid w:val="00BF6780"/>
    <w:rsid w:val="00BF7709"/>
    <w:rsid w:val="00C002B7"/>
    <w:rsid w:val="00C00B46"/>
    <w:rsid w:val="00C0256B"/>
    <w:rsid w:val="00C03D3C"/>
    <w:rsid w:val="00C03E76"/>
    <w:rsid w:val="00C045C3"/>
    <w:rsid w:val="00C04874"/>
    <w:rsid w:val="00C0503D"/>
    <w:rsid w:val="00C06547"/>
    <w:rsid w:val="00C07880"/>
    <w:rsid w:val="00C104AA"/>
    <w:rsid w:val="00C10B89"/>
    <w:rsid w:val="00C10C54"/>
    <w:rsid w:val="00C1151A"/>
    <w:rsid w:val="00C11A64"/>
    <w:rsid w:val="00C12957"/>
    <w:rsid w:val="00C12AB4"/>
    <w:rsid w:val="00C13612"/>
    <w:rsid w:val="00C15EBB"/>
    <w:rsid w:val="00C16CDB"/>
    <w:rsid w:val="00C201E1"/>
    <w:rsid w:val="00C2024D"/>
    <w:rsid w:val="00C21911"/>
    <w:rsid w:val="00C219A3"/>
    <w:rsid w:val="00C21D14"/>
    <w:rsid w:val="00C21E50"/>
    <w:rsid w:val="00C22D18"/>
    <w:rsid w:val="00C2364A"/>
    <w:rsid w:val="00C23818"/>
    <w:rsid w:val="00C2389C"/>
    <w:rsid w:val="00C24545"/>
    <w:rsid w:val="00C24E84"/>
    <w:rsid w:val="00C25616"/>
    <w:rsid w:val="00C26BDE"/>
    <w:rsid w:val="00C26DB9"/>
    <w:rsid w:val="00C27E41"/>
    <w:rsid w:val="00C30533"/>
    <w:rsid w:val="00C31A22"/>
    <w:rsid w:val="00C32980"/>
    <w:rsid w:val="00C32E1E"/>
    <w:rsid w:val="00C33262"/>
    <w:rsid w:val="00C33DAA"/>
    <w:rsid w:val="00C3487C"/>
    <w:rsid w:val="00C34D97"/>
    <w:rsid w:val="00C35582"/>
    <w:rsid w:val="00C3562B"/>
    <w:rsid w:val="00C3626B"/>
    <w:rsid w:val="00C379D3"/>
    <w:rsid w:val="00C37BC3"/>
    <w:rsid w:val="00C40354"/>
    <w:rsid w:val="00C403E5"/>
    <w:rsid w:val="00C4073F"/>
    <w:rsid w:val="00C40DC8"/>
    <w:rsid w:val="00C41018"/>
    <w:rsid w:val="00C421E1"/>
    <w:rsid w:val="00C432F8"/>
    <w:rsid w:val="00C43D08"/>
    <w:rsid w:val="00C43D1C"/>
    <w:rsid w:val="00C44542"/>
    <w:rsid w:val="00C446F1"/>
    <w:rsid w:val="00C451F6"/>
    <w:rsid w:val="00C452ED"/>
    <w:rsid w:val="00C45411"/>
    <w:rsid w:val="00C45A3A"/>
    <w:rsid w:val="00C45D5A"/>
    <w:rsid w:val="00C460EC"/>
    <w:rsid w:val="00C466E6"/>
    <w:rsid w:val="00C46B85"/>
    <w:rsid w:val="00C4714B"/>
    <w:rsid w:val="00C47A33"/>
    <w:rsid w:val="00C47A64"/>
    <w:rsid w:val="00C50334"/>
    <w:rsid w:val="00C50B9F"/>
    <w:rsid w:val="00C51F60"/>
    <w:rsid w:val="00C528F7"/>
    <w:rsid w:val="00C52EE1"/>
    <w:rsid w:val="00C5344E"/>
    <w:rsid w:val="00C54EB2"/>
    <w:rsid w:val="00C60267"/>
    <w:rsid w:val="00C6136A"/>
    <w:rsid w:val="00C614BD"/>
    <w:rsid w:val="00C62BBF"/>
    <w:rsid w:val="00C6312B"/>
    <w:rsid w:val="00C63DA2"/>
    <w:rsid w:val="00C64D98"/>
    <w:rsid w:val="00C66401"/>
    <w:rsid w:val="00C664A2"/>
    <w:rsid w:val="00C705E1"/>
    <w:rsid w:val="00C70CA6"/>
    <w:rsid w:val="00C7125C"/>
    <w:rsid w:val="00C7207E"/>
    <w:rsid w:val="00C72B6C"/>
    <w:rsid w:val="00C72F26"/>
    <w:rsid w:val="00C73A1D"/>
    <w:rsid w:val="00C74377"/>
    <w:rsid w:val="00C754DB"/>
    <w:rsid w:val="00C75530"/>
    <w:rsid w:val="00C75587"/>
    <w:rsid w:val="00C7637E"/>
    <w:rsid w:val="00C77453"/>
    <w:rsid w:val="00C81B41"/>
    <w:rsid w:val="00C834B6"/>
    <w:rsid w:val="00C841AE"/>
    <w:rsid w:val="00C849E6"/>
    <w:rsid w:val="00C85F36"/>
    <w:rsid w:val="00C86081"/>
    <w:rsid w:val="00C8643B"/>
    <w:rsid w:val="00C86DA1"/>
    <w:rsid w:val="00C87786"/>
    <w:rsid w:val="00C87F46"/>
    <w:rsid w:val="00C904A0"/>
    <w:rsid w:val="00C905A6"/>
    <w:rsid w:val="00C90AE1"/>
    <w:rsid w:val="00C91643"/>
    <w:rsid w:val="00C918F2"/>
    <w:rsid w:val="00C91AC1"/>
    <w:rsid w:val="00C9261C"/>
    <w:rsid w:val="00C927CA"/>
    <w:rsid w:val="00C929FB"/>
    <w:rsid w:val="00C93143"/>
    <w:rsid w:val="00C9480F"/>
    <w:rsid w:val="00C953AC"/>
    <w:rsid w:val="00C96250"/>
    <w:rsid w:val="00C96CF2"/>
    <w:rsid w:val="00C97523"/>
    <w:rsid w:val="00C978C8"/>
    <w:rsid w:val="00C97C51"/>
    <w:rsid w:val="00C97CB7"/>
    <w:rsid w:val="00C97D39"/>
    <w:rsid w:val="00CA089F"/>
    <w:rsid w:val="00CA1291"/>
    <w:rsid w:val="00CA20B9"/>
    <w:rsid w:val="00CA2753"/>
    <w:rsid w:val="00CA327E"/>
    <w:rsid w:val="00CA3A41"/>
    <w:rsid w:val="00CA3A68"/>
    <w:rsid w:val="00CA3CFD"/>
    <w:rsid w:val="00CA519C"/>
    <w:rsid w:val="00CB0F71"/>
    <w:rsid w:val="00CB1ACA"/>
    <w:rsid w:val="00CB2547"/>
    <w:rsid w:val="00CB2D0F"/>
    <w:rsid w:val="00CB30AA"/>
    <w:rsid w:val="00CB3869"/>
    <w:rsid w:val="00CB49A5"/>
    <w:rsid w:val="00CB7DE0"/>
    <w:rsid w:val="00CC0251"/>
    <w:rsid w:val="00CC0A72"/>
    <w:rsid w:val="00CC0D97"/>
    <w:rsid w:val="00CC1451"/>
    <w:rsid w:val="00CC16CB"/>
    <w:rsid w:val="00CC1D79"/>
    <w:rsid w:val="00CC30A1"/>
    <w:rsid w:val="00CC3DE9"/>
    <w:rsid w:val="00CC493C"/>
    <w:rsid w:val="00CC4C76"/>
    <w:rsid w:val="00CC591F"/>
    <w:rsid w:val="00CC6500"/>
    <w:rsid w:val="00CC70C3"/>
    <w:rsid w:val="00CC7AB7"/>
    <w:rsid w:val="00CD0565"/>
    <w:rsid w:val="00CD0779"/>
    <w:rsid w:val="00CD07ED"/>
    <w:rsid w:val="00CD1175"/>
    <w:rsid w:val="00CD2D6B"/>
    <w:rsid w:val="00CD2FFE"/>
    <w:rsid w:val="00CD3DED"/>
    <w:rsid w:val="00CD4082"/>
    <w:rsid w:val="00CD5722"/>
    <w:rsid w:val="00CD5CFF"/>
    <w:rsid w:val="00CD6074"/>
    <w:rsid w:val="00CD68B9"/>
    <w:rsid w:val="00CD6A90"/>
    <w:rsid w:val="00CE2BCA"/>
    <w:rsid w:val="00CE3831"/>
    <w:rsid w:val="00CE3BAE"/>
    <w:rsid w:val="00CE3D65"/>
    <w:rsid w:val="00CE3E51"/>
    <w:rsid w:val="00CE4B3D"/>
    <w:rsid w:val="00CE5644"/>
    <w:rsid w:val="00CE564D"/>
    <w:rsid w:val="00CE5D00"/>
    <w:rsid w:val="00CE5FA6"/>
    <w:rsid w:val="00CE6DA0"/>
    <w:rsid w:val="00CE77B9"/>
    <w:rsid w:val="00CF01E1"/>
    <w:rsid w:val="00CF046E"/>
    <w:rsid w:val="00CF0724"/>
    <w:rsid w:val="00CF258C"/>
    <w:rsid w:val="00CF2FC5"/>
    <w:rsid w:val="00CF3DAB"/>
    <w:rsid w:val="00CF4CE0"/>
    <w:rsid w:val="00CF6862"/>
    <w:rsid w:val="00CF711A"/>
    <w:rsid w:val="00CF7D23"/>
    <w:rsid w:val="00D01943"/>
    <w:rsid w:val="00D01E9A"/>
    <w:rsid w:val="00D0474E"/>
    <w:rsid w:val="00D047BE"/>
    <w:rsid w:val="00D049E3"/>
    <w:rsid w:val="00D04DED"/>
    <w:rsid w:val="00D05D57"/>
    <w:rsid w:val="00D06BE9"/>
    <w:rsid w:val="00D078AF"/>
    <w:rsid w:val="00D07C1F"/>
    <w:rsid w:val="00D10CA1"/>
    <w:rsid w:val="00D10D66"/>
    <w:rsid w:val="00D10FB1"/>
    <w:rsid w:val="00D126DE"/>
    <w:rsid w:val="00D12B85"/>
    <w:rsid w:val="00D12CDC"/>
    <w:rsid w:val="00D1329C"/>
    <w:rsid w:val="00D138C7"/>
    <w:rsid w:val="00D13CFB"/>
    <w:rsid w:val="00D13D1C"/>
    <w:rsid w:val="00D14368"/>
    <w:rsid w:val="00D14632"/>
    <w:rsid w:val="00D1569C"/>
    <w:rsid w:val="00D170A8"/>
    <w:rsid w:val="00D17489"/>
    <w:rsid w:val="00D21031"/>
    <w:rsid w:val="00D211B3"/>
    <w:rsid w:val="00D21803"/>
    <w:rsid w:val="00D22262"/>
    <w:rsid w:val="00D22666"/>
    <w:rsid w:val="00D22DD1"/>
    <w:rsid w:val="00D2317A"/>
    <w:rsid w:val="00D23742"/>
    <w:rsid w:val="00D23BDE"/>
    <w:rsid w:val="00D2418C"/>
    <w:rsid w:val="00D2536E"/>
    <w:rsid w:val="00D25617"/>
    <w:rsid w:val="00D25BE0"/>
    <w:rsid w:val="00D26743"/>
    <w:rsid w:val="00D269D6"/>
    <w:rsid w:val="00D26E52"/>
    <w:rsid w:val="00D27476"/>
    <w:rsid w:val="00D27CE2"/>
    <w:rsid w:val="00D30F50"/>
    <w:rsid w:val="00D31A91"/>
    <w:rsid w:val="00D31C28"/>
    <w:rsid w:val="00D31EE3"/>
    <w:rsid w:val="00D32E3F"/>
    <w:rsid w:val="00D3335C"/>
    <w:rsid w:val="00D34129"/>
    <w:rsid w:val="00D3435C"/>
    <w:rsid w:val="00D360A7"/>
    <w:rsid w:val="00D41976"/>
    <w:rsid w:val="00D41ABA"/>
    <w:rsid w:val="00D41F5C"/>
    <w:rsid w:val="00D42B9B"/>
    <w:rsid w:val="00D435C0"/>
    <w:rsid w:val="00D43649"/>
    <w:rsid w:val="00D43841"/>
    <w:rsid w:val="00D43B1A"/>
    <w:rsid w:val="00D466F5"/>
    <w:rsid w:val="00D46AAD"/>
    <w:rsid w:val="00D47CAF"/>
    <w:rsid w:val="00D47FAB"/>
    <w:rsid w:val="00D50E23"/>
    <w:rsid w:val="00D51EB2"/>
    <w:rsid w:val="00D52A1F"/>
    <w:rsid w:val="00D52F9B"/>
    <w:rsid w:val="00D53893"/>
    <w:rsid w:val="00D53F19"/>
    <w:rsid w:val="00D54A62"/>
    <w:rsid w:val="00D54AC5"/>
    <w:rsid w:val="00D54C35"/>
    <w:rsid w:val="00D55129"/>
    <w:rsid w:val="00D560C1"/>
    <w:rsid w:val="00D567C5"/>
    <w:rsid w:val="00D570FD"/>
    <w:rsid w:val="00D572F8"/>
    <w:rsid w:val="00D606D0"/>
    <w:rsid w:val="00D61298"/>
    <w:rsid w:val="00D62496"/>
    <w:rsid w:val="00D62A83"/>
    <w:rsid w:val="00D6388A"/>
    <w:rsid w:val="00D6394B"/>
    <w:rsid w:val="00D6480B"/>
    <w:rsid w:val="00D65121"/>
    <w:rsid w:val="00D65CE0"/>
    <w:rsid w:val="00D67DBE"/>
    <w:rsid w:val="00D7013B"/>
    <w:rsid w:val="00D709AF"/>
    <w:rsid w:val="00D71F16"/>
    <w:rsid w:val="00D7217B"/>
    <w:rsid w:val="00D72F0B"/>
    <w:rsid w:val="00D731FF"/>
    <w:rsid w:val="00D73578"/>
    <w:rsid w:val="00D744D8"/>
    <w:rsid w:val="00D754AF"/>
    <w:rsid w:val="00D7559D"/>
    <w:rsid w:val="00D75EEB"/>
    <w:rsid w:val="00D76948"/>
    <w:rsid w:val="00D76CDA"/>
    <w:rsid w:val="00D76DF5"/>
    <w:rsid w:val="00D779C7"/>
    <w:rsid w:val="00D806AE"/>
    <w:rsid w:val="00D80F50"/>
    <w:rsid w:val="00D81F27"/>
    <w:rsid w:val="00D825C0"/>
    <w:rsid w:val="00D84327"/>
    <w:rsid w:val="00D847F9"/>
    <w:rsid w:val="00D84EB6"/>
    <w:rsid w:val="00D87EB9"/>
    <w:rsid w:val="00D9047B"/>
    <w:rsid w:val="00D911B4"/>
    <w:rsid w:val="00D916D5"/>
    <w:rsid w:val="00D92B95"/>
    <w:rsid w:val="00D92FC4"/>
    <w:rsid w:val="00D9328C"/>
    <w:rsid w:val="00D93FF0"/>
    <w:rsid w:val="00D94362"/>
    <w:rsid w:val="00D94F91"/>
    <w:rsid w:val="00D96309"/>
    <w:rsid w:val="00D963EA"/>
    <w:rsid w:val="00DA0464"/>
    <w:rsid w:val="00DA0755"/>
    <w:rsid w:val="00DA07DE"/>
    <w:rsid w:val="00DA14D5"/>
    <w:rsid w:val="00DA196F"/>
    <w:rsid w:val="00DA1CFB"/>
    <w:rsid w:val="00DA2B87"/>
    <w:rsid w:val="00DA3196"/>
    <w:rsid w:val="00DA4407"/>
    <w:rsid w:val="00DA4E1E"/>
    <w:rsid w:val="00DA4F47"/>
    <w:rsid w:val="00DA51F5"/>
    <w:rsid w:val="00DA5DA6"/>
    <w:rsid w:val="00DA6936"/>
    <w:rsid w:val="00DA6958"/>
    <w:rsid w:val="00DA6B35"/>
    <w:rsid w:val="00DA6C50"/>
    <w:rsid w:val="00DA7629"/>
    <w:rsid w:val="00DA7820"/>
    <w:rsid w:val="00DA7B31"/>
    <w:rsid w:val="00DB0607"/>
    <w:rsid w:val="00DB0614"/>
    <w:rsid w:val="00DB0793"/>
    <w:rsid w:val="00DB0A6A"/>
    <w:rsid w:val="00DB0AE6"/>
    <w:rsid w:val="00DB0EF7"/>
    <w:rsid w:val="00DB1028"/>
    <w:rsid w:val="00DB1379"/>
    <w:rsid w:val="00DB233A"/>
    <w:rsid w:val="00DB4F07"/>
    <w:rsid w:val="00DB5707"/>
    <w:rsid w:val="00DB5957"/>
    <w:rsid w:val="00DB6045"/>
    <w:rsid w:val="00DB60FF"/>
    <w:rsid w:val="00DB623D"/>
    <w:rsid w:val="00DC0905"/>
    <w:rsid w:val="00DC0B44"/>
    <w:rsid w:val="00DC1591"/>
    <w:rsid w:val="00DC1628"/>
    <w:rsid w:val="00DC1A23"/>
    <w:rsid w:val="00DC1E34"/>
    <w:rsid w:val="00DC2026"/>
    <w:rsid w:val="00DC2268"/>
    <w:rsid w:val="00DC3941"/>
    <w:rsid w:val="00DC6B09"/>
    <w:rsid w:val="00DD079E"/>
    <w:rsid w:val="00DD0ED8"/>
    <w:rsid w:val="00DD1B28"/>
    <w:rsid w:val="00DD286C"/>
    <w:rsid w:val="00DD32AC"/>
    <w:rsid w:val="00DD339E"/>
    <w:rsid w:val="00DD3709"/>
    <w:rsid w:val="00DD3F2A"/>
    <w:rsid w:val="00DD402A"/>
    <w:rsid w:val="00DD4989"/>
    <w:rsid w:val="00DD4C3A"/>
    <w:rsid w:val="00DD6F0D"/>
    <w:rsid w:val="00DD72D4"/>
    <w:rsid w:val="00DE04CD"/>
    <w:rsid w:val="00DE0E31"/>
    <w:rsid w:val="00DE163E"/>
    <w:rsid w:val="00DE1B03"/>
    <w:rsid w:val="00DE32A2"/>
    <w:rsid w:val="00DE3542"/>
    <w:rsid w:val="00DE4F16"/>
    <w:rsid w:val="00DE4F6C"/>
    <w:rsid w:val="00DE57A0"/>
    <w:rsid w:val="00DE6197"/>
    <w:rsid w:val="00DE6FA9"/>
    <w:rsid w:val="00DE6FB0"/>
    <w:rsid w:val="00DE7356"/>
    <w:rsid w:val="00DE7D07"/>
    <w:rsid w:val="00DF0010"/>
    <w:rsid w:val="00DF13CA"/>
    <w:rsid w:val="00DF2134"/>
    <w:rsid w:val="00DF22FA"/>
    <w:rsid w:val="00DF2E07"/>
    <w:rsid w:val="00DF2FFF"/>
    <w:rsid w:val="00DF38E4"/>
    <w:rsid w:val="00DF457B"/>
    <w:rsid w:val="00DF4A6A"/>
    <w:rsid w:val="00DF5A0A"/>
    <w:rsid w:val="00DF7263"/>
    <w:rsid w:val="00E004EA"/>
    <w:rsid w:val="00E00B86"/>
    <w:rsid w:val="00E00FD4"/>
    <w:rsid w:val="00E012E9"/>
    <w:rsid w:val="00E01E32"/>
    <w:rsid w:val="00E0287F"/>
    <w:rsid w:val="00E02B89"/>
    <w:rsid w:val="00E02BC4"/>
    <w:rsid w:val="00E02D29"/>
    <w:rsid w:val="00E031B4"/>
    <w:rsid w:val="00E0372A"/>
    <w:rsid w:val="00E04B47"/>
    <w:rsid w:val="00E0518A"/>
    <w:rsid w:val="00E051B2"/>
    <w:rsid w:val="00E0624B"/>
    <w:rsid w:val="00E07F79"/>
    <w:rsid w:val="00E1034C"/>
    <w:rsid w:val="00E104CC"/>
    <w:rsid w:val="00E1166A"/>
    <w:rsid w:val="00E1168C"/>
    <w:rsid w:val="00E11C4D"/>
    <w:rsid w:val="00E11F75"/>
    <w:rsid w:val="00E1211D"/>
    <w:rsid w:val="00E139E7"/>
    <w:rsid w:val="00E13CD8"/>
    <w:rsid w:val="00E16CC5"/>
    <w:rsid w:val="00E1713A"/>
    <w:rsid w:val="00E20E0E"/>
    <w:rsid w:val="00E219F1"/>
    <w:rsid w:val="00E23C7F"/>
    <w:rsid w:val="00E23D88"/>
    <w:rsid w:val="00E2434F"/>
    <w:rsid w:val="00E24B77"/>
    <w:rsid w:val="00E24F04"/>
    <w:rsid w:val="00E258D0"/>
    <w:rsid w:val="00E25F0E"/>
    <w:rsid w:val="00E265BA"/>
    <w:rsid w:val="00E26F1E"/>
    <w:rsid w:val="00E27576"/>
    <w:rsid w:val="00E2768A"/>
    <w:rsid w:val="00E3090B"/>
    <w:rsid w:val="00E30AC3"/>
    <w:rsid w:val="00E311CA"/>
    <w:rsid w:val="00E3132C"/>
    <w:rsid w:val="00E3161C"/>
    <w:rsid w:val="00E31B86"/>
    <w:rsid w:val="00E32552"/>
    <w:rsid w:val="00E328E3"/>
    <w:rsid w:val="00E32B59"/>
    <w:rsid w:val="00E32FC9"/>
    <w:rsid w:val="00E332AA"/>
    <w:rsid w:val="00E33380"/>
    <w:rsid w:val="00E33573"/>
    <w:rsid w:val="00E33872"/>
    <w:rsid w:val="00E33BE0"/>
    <w:rsid w:val="00E34C62"/>
    <w:rsid w:val="00E35A39"/>
    <w:rsid w:val="00E3607F"/>
    <w:rsid w:val="00E3625C"/>
    <w:rsid w:val="00E36788"/>
    <w:rsid w:val="00E40282"/>
    <w:rsid w:val="00E424C6"/>
    <w:rsid w:val="00E42AC1"/>
    <w:rsid w:val="00E42F7B"/>
    <w:rsid w:val="00E43523"/>
    <w:rsid w:val="00E4364A"/>
    <w:rsid w:val="00E44415"/>
    <w:rsid w:val="00E45735"/>
    <w:rsid w:val="00E46F00"/>
    <w:rsid w:val="00E47641"/>
    <w:rsid w:val="00E4775C"/>
    <w:rsid w:val="00E501B2"/>
    <w:rsid w:val="00E5028A"/>
    <w:rsid w:val="00E50A00"/>
    <w:rsid w:val="00E531F0"/>
    <w:rsid w:val="00E53DC3"/>
    <w:rsid w:val="00E54684"/>
    <w:rsid w:val="00E558EA"/>
    <w:rsid w:val="00E5624E"/>
    <w:rsid w:val="00E568CC"/>
    <w:rsid w:val="00E6301C"/>
    <w:rsid w:val="00E63EF4"/>
    <w:rsid w:val="00E64759"/>
    <w:rsid w:val="00E64CF2"/>
    <w:rsid w:val="00E64F7A"/>
    <w:rsid w:val="00E657C5"/>
    <w:rsid w:val="00E65D79"/>
    <w:rsid w:val="00E674D3"/>
    <w:rsid w:val="00E70F86"/>
    <w:rsid w:val="00E717A7"/>
    <w:rsid w:val="00E72047"/>
    <w:rsid w:val="00E7222B"/>
    <w:rsid w:val="00E724BF"/>
    <w:rsid w:val="00E73BFD"/>
    <w:rsid w:val="00E74829"/>
    <w:rsid w:val="00E75618"/>
    <w:rsid w:val="00E756F4"/>
    <w:rsid w:val="00E767BD"/>
    <w:rsid w:val="00E76988"/>
    <w:rsid w:val="00E77907"/>
    <w:rsid w:val="00E80022"/>
    <w:rsid w:val="00E80988"/>
    <w:rsid w:val="00E82096"/>
    <w:rsid w:val="00E8393B"/>
    <w:rsid w:val="00E84619"/>
    <w:rsid w:val="00E848EB"/>
    <w:rsid w:val="00E84E42"/>
    <w:rsid w:val="00E85E88"/>
    <w:rsid w:val="00E86FAF"/>
    <w:rsid w:val="00E90AA9"/>
    <w:rsid w:val="00E90E31"/>
    <w:rsid w:val="00E91837"/>
    <w:rsid w:val="00E92540"/>
    <w:rsid w:val="00E9295C"/>
    <w:rsid w:val="00E92EC2"/>
    <w:rsid w:val="00E944E1"/>
    <w:rsid w:val="00E965E0"/>
    <w:rsid w:val="00E96712"/>
    <w:rsid w:val="00E97642"/>
    <w:rsid w:val="00E97EB8"/>
    <w:rsid w:val="00EA042E"/>
    <w:rsid w:val="00EA0A09"/>
    <w:rsid w:val="00EA1951"/>
    <w:rsid w:val="00EA2BBC"/>
    <w:rsid w:val="00EA2CB2"/>
    <w:rsid w:val="00EA2FCC"/>
    <w:rsid w:val="00EA37C2"/>
    <w:rsid w:val="00EA5643"/>
    <w:rsid w:val="00EA58E0"/>
    <w:rsid w:val="00EB02DC"/>
    <w:rsid w:val="00EB0E11"/>
    <w:rsid w:val="00EB1659"/>
    <w:rsid w:val="00EB1C48"/>
    <w:rsid w:val="00EB1FF0"/>
    <w:rsid w:val="00EB2536"/>
    <w:rsid w:val="00EB2DED"/>
    <w:rsid w:val="00EB45E5"/>
    <w:rsid w:val="00EB505B"/>
    <w:rsid w:val="00EB55CF"/>
    <w:rsid w:val="00EB59D3"/>
    <w:rsid w:val="00EB6F9F"/>
    <w:rsid w:val="00EB77CB"/>
    <w:rsid w:val="00EC081F"/>
    <w:rsid w:val="00EC171E"/>
    <w:rsid w:val="00EC1CCB"/>
    <w:rsid w:val="00EC2CB2"/>
    <w:rsid w:val="00EC39BA"/>
    <w:rsid w:val="00EC3E9C"/>
    <w:rsid w:val="00EC4859"/>
    <w:rsid w:val="00EC4E8F"/>
    <w:rsid w:val="00EC53C4"/>
    <w:rsid w:val="00EC6F74"/>
    <w:rsid w:val="00EC7AC4"/>
    <w:rsid w:val="00EC7E13"/>
    <w:rsid w:val="00ED01AA"/>
    <w:rsid w:val="00ED04A2"/>
    <w:rsid w:val="00ED0D14"/>
    <w:rsid w:val="00ED192A"/>
    <w:rsid w:val="00ED23D6"/>
    <w:rsid w:val="00ED26DE"/>
    <w:rsid w:val="00ED2F69"/>
    <w:rsid w:val="00ED4BBC"/>
    <w:rsid w:val="00ED6591"/>
    <w:rsid w:val="00ED7626"/>
    <w:rsid w:val="00ED7A26"/>
    <w:rsid w:val="00EE2595"/>
    <w:rsid w:val="00EE2E0B"/>
    <w:rsid w:val="00EE417F"/>
    <w:rsid w:val="00EE5D78"/>
    <w:rsid w:val="00EE6842"/>
    <w:rsid w:val="00EE696B"/>
    <w:rsid w:val="00EE78ED"/>
    <w:rsid w:val="00EF0352"/>
    <w:rsid w:val="00EF0F03"/>
    <w:rsid w:val="00EF258B"/>
    <w:rsid w:val="00EF264F"/>
    <w:rsid w:val="00EF2735"/>
    <w:rsid w:val="00EF2BC0"/>
    <w:rsid w:val="00EF3071"/>
    <w:rsid w:val="00EF37D2"/>
    <w:rsid w:val="00EF531A"/>
    <w:rsid w:val="00EF565C"/>
    <w:rsid w:val="00EF6ED7"/>
    <w:rsid w:val="00EF6F1B"/>
    <w:rsid w:val="00F008EA"/>
    <w:rsid w:val="00F00F8C"/>
    <w:rsid w:val="00F01C21"/>
    <w:rsid w:val="00F02CBF"/>
    <w:rsid w:val="00F03AEA"/>
    <w:rsid w:val="00F03C59"/>
    <w:rsid w:val="00F04EE1"/>
    <w:rsid w:val="00F05ED5"/>
    <w:rsid w:val="00F067BA"/>
    <w:rsid w:val="00F06CC9"/>
    <w:rsid w:val="00F074C0"/>
    <w:rsid w:val="00F07C77"/>
    <w:rsid w:val="00F113DE"/>
    <w:rsid w:val="00F11426"/>
    <w:rsid w:val="00F1214F"/>
    <w:rsid w:val="00F1224D"/>
    <w:rsid w:val="00F12499"/>
    <w:rsid w:val="00F12A1F"/>
    <w:rsid w:val="00F12A98"/>
    <w:rsid w:val="00F12E91"/>
    <w:rsid w:val="00F13080"/>
    <w:rsid w:val="00F13151"/>
    <w:rsid w:val="00F13596"/>
    <w:rsid w:val="00F13690"/>
    <w:rsid w:val="00F139A5"/>
    <w:rsid w:val="00F13F15"/>
    <w:rsid w:val="00F13F3A"/>
    <w:rsid w:val="00F146A7"/>
    <w:rsid w:val="00F155D1"/>
    <w:rsid w:val="00F16DF2"/>
    <w:rsid w:val="00F170EF"/>
    <w:rsid w:val="00F178F0"/>
    <w:rsid w:val="00F17921"/>
    <w:rsid w:val="00F20B80"/>
    <w:rsid w:val="00F2117B"/>
    <w:rsid w:val="00F2257C"/>
    <w:rsid w:val="00F22C03"/>
    <w:rsid w:val="00F2438D"/>
    <w:rsid w:val="00F26B70"/>
    <w:rsid w:val="00F30924"/>
    <w:rsid w:val="00F31259"/>
    <w:rsid w:val="00F321DE"/>
    <w:rsid w:val="00F32945"/>
    <w:rsid w:val="00F346EF"/>
    <w:rsid w:val="00F34B6F"/>
    <w:rsid w:val="00F34C10"/>
    <w:rsid w:val="00F355E2"/>
    <w:rsid w:val="00F3607B"/>
    <w:rsid w:val="00F365AE"/>
    <w:rsid w:val="00F3678D"/>
    <w:rsid w:val="00F36904"/>
    <w:rsid w:val="00F37926"/>
    <w:rsid w:val="00F37FEF"/>
    <w:rsid w:val="00F411BB"/>
    <w:rsid w:val="00F42FE3"/>
    <w:rsid w:val="00F43F97"/>
    <w:rsid w:val="00F44565"/>
    <w:rsid w:val="00F44631"/>
    <w:rsid w:val="00F44C0B"/>
    <w:rsid w:val="00F45B76"/>
    <w:rsid w:val="00F46B14"/>
    <w:rsid w:val="00F4707E"/>
    <w:rsid w:val="00F47859"/>
    <w:rsid w:val="00F47BA0"/>
    <w:rsid w:val="00F47DA9"/>
    <w:rsid w:val="00F502FF"/>
    <w:rsid w:val="00F51319"/>
    <w:rsid w:val="00F51380"/>
    <w:rsid w:val="00F51EC5"/>
    <w:rsid w:val="00F52D49"/>
    <w:rsid w:val="00F53236"/>
    <w:rsid w:val="00F53AB1"/>
    <w:rsid w:val="00F54EBE"/>
    <w:rsid w:val="00F552C8"/>
    <w:rsid w:val="00F55394"/>
    <w:rsid w:val="00F55764"/>
    <w:rsid w:val="00F55AB6"/>
    <w:rsid w:val="00F56123"/>
    <w:rsid w:val="00F56DBF"/>
    <w:rsid w:val="00F57037"/>
    <w:rsid w:val="00F60674"/>
    <w:rsid w:val="00F607E8"/>
    <w:rsid w:val="00F60C96"/>
    <w:rsid w:val="00F6148F"/>
    <w:rsid w:val="00F616E2"/>
    <w:rsid w:val="00F62467"/>
    <w:rsid w:val="00F62DF8"/>
    <w:rsid w:val="00F63657"/>
    <w:rsid w:val="00F64607"/>
    <w:rsid w:val="00F6472D"/>
    <w:rsid w:val="00F64E39"/>
    <w:rsid w:val="00F6585A"/>
    <w:rsid w:val="00F65DAF"/>
    <w:rsid w:val="00F67149"/>
    <w:rsid w:val="00F67488"/>
    <w:rsid w:val="00F70BA1"/>
    <w:rsid w:val="00F70BEA"/>
    <w:rsid w:val="00F70C75"/>
    <w:rsid w:val="00F726C2"/>
    <w:rsid w:val="00F72961"/>
    <w:rsid w:val="00F7305A"/>
    <w:rsid w:val="00F74E7A"/>
    <w:rsid w:val="00F74F42"/>
    <w:rsid w:val="00F75B52"/>
    <w:rsid w:val="00F76B47"/>
    <w:rsid w:val="00F77371"/>
    <w:rsid w:val="00F80E63"/>
    <w:rsid w:val="00F81102"/>
    <w:rsid w:val="00F813B5"/>
    <w:rsid w:val="00F81797"/>
    <w:rsid w:val="00F868F1"/>
    <w:rsid w:val="00F87332"/>
    <w:rsid w:val="00F91500"/>
    <w:rsid w:val="00F93476"/>
    <w:rsid w:val="00F93DD1"/>
    <w:rsid w:val="00F94173"/>
    <w:rsid w:val="00F94968"/>
    <w:rsid w:val="00F95943"/>
    <w:rsid w:val="00F95C15"/>
    <w:rsid w:val="00F961A4"/>
    <w:rsid w:val="00FA06BF"/>
    <w:rsid w:val="00FA18EA"/>
    <w:rsid w:val="00FA1CB8"/>
    <w:rsid w:val="00FA2D17"/>
    <w:rsid w:val="00FA31E5"/>
    <w:rsid w:val="00FA42FA"/>
    <w:rsid w:val="00FA439C"/>
    <w:rsid w:val="00FA4BFC"/>
    <w:rsid w:val="00FA4E55"/>
    <w:rsid w:val="00FA561E"/>
    <w:rsid w:val="00FA6D01"/>
    <w:rsid w:val="00FA7004"/>
    <w:rsid w:val="00FB0247"/>
    <w:rsid w:val="00FB11C8"/>
    <w:rsid w:val="00FB21ED"/>
    <w:rsid w:val="00FB22FB"/>
    <w:rsid w:val="00FB33AC"/>
    <w:rsid w:val="00FB3694"/>
    <w:rsid w:val="00FB43D4"/>
    <w:rsid w:val="00FB4F32"/>
    <w:rsid w:val="00FB55F0"/>
    <w:rsid w:val="00FB5B0F"/>
    <w:rsid w:val="00FB5B38"/>
    <w:rsid w:val="00FB602C"/>
    <w:rsid w:val="00FB7E11"/>
    <w:rsid w:val="00FC005F"/>
    <w:rsid w:val="00FC38E8"/>
    <w:rsid w:val="00FC3A0F"/>
    <w:rsid w:val="00FC3F41"/>
    <w:rsid w:val="00FC55FE"/>
    <w:rsid w:val="00FC66CD"/>
    <w:rsid w:val="00FC7383"/>
    <w:rsid w:val="00FC781F"/>
    <w:rsid w:val="00FC7F1B"/>
    <w:rsid w:val="00FD04FC"/>
    <w:rsid w:val="00FD08F8"/>
    <w:rsid w:val="00FD0D85"/>
    <w:rsid w:val="00FD2336"/>
    <w:rsid w:val="00FD2CC9"/>
    <w:rsid w:val="00FD5AE8"/>
    <w:rsid w:val="00FD73CB"/>
    <w:rsid w:val="00FD7435"/>
    <w:rsid w:val="00FE0151"/>
    <w:rsid w:val="00FE08E1"/>
    <w:rsid w:val="00FE0DD6"/>
    <w:rsid w:val="00FE1878"/>
    <w:rsid w:val="00FE2D68"/>
    <w:rsid w:val="00FE3E72"/>
    <w:rsid w:val="00FE3EC9"/>
    <w:rsid w:val="00FE4385"/>
    <w:rsid w:val="00FE4815"/>
    <w:rsid w:val="00FE4A0F"/>
    <w:rsid w:val="00FE50CE"/>
    <w:rsid w:val="00FE572F"/>
    <w:rsid w:val="00FE723F"/>
    <w:rsid w:val="00FE72D6"/>
    <w:rsid w:val="00FE7316"/>
    <w:rsid w:val="00FF0A85"/>
    <w:rsid w:val="00FF14C8"/>
    <w:rsid w:val="00FF1D7F"/>
    <w:rsid w:val="00FF3C22"/>
    <w:rsid w:val="00FF43BF"/>
    <w:rsid w:val="00FF4CF3"/>
    <w:rsid w:val="00FF5C73"/>
    <w:rsid w:val="00FF5C7C"/>
    <w:rsid w:val="00FF5D2F"/>
    <w:rsid w:val="00FF6260"/>
    <w:rsid w:val="00FF6285"/>
    <w:rsid w:val="00FF67F6"/>
    <w:rsid w:val="00FF741D"/>
    <w:rsid w:val="0119091C"/>
    <w:rsid w:val="01345397"/>
    <w:rsid w:val="013637D1"/>
    <w:rsid w:val="01C73F06"/>
    <w:rsid w:val="01CC1BDA"/>
    <w:rsid w:val="01E2214B"/>
    <w:rsid w:val="01FE3960"/>
    <w:rsid w:val="027F0966"/>
    <w:rsid w:val="031F47B8"/>
    <w:rsid w:val="0325417D"/>
    <w:rsid w:val="03264872"/>
    <w:rsid w:val="03880FCF"/>
    <w:rsid w:val="03967954"/>
    <w:rsid w:val="03F73DCB"/>
    <w:rsid w:val="04024D66"/>
    <w:rsid w:val="041273F9"/>
    <w:rsid w:val="04185410"/>
    <w:rsid w:val="041F054D"/>
    <w:rsid w:val="04390EE3"/>
    <w:rsid w:val="046B4304"/>
    <w:rsid w:val="04723F03"/>
    <w:rsid w:val="04BA0275"/>
    <w:rsid w:val="04D47099"/>
    <w:rsid w:val="05284B01"/>
    <w:rsid w:val="052C06D9"/>
    <w:rsid w:val="052D1723"/>
    <w:rsid w:val="05505A10"/>
    <w:rsid w:val="05CB39FE"/>
    <w:rsid w:val="05CC3B21"/>
    <w:rsid w:val="061D20C4"/>
    <w:rsid w:val="0627463A"/>
    <w:rsid w:val="063F6C84"/>
    <w:rsid w:val="06457AC5"/>
    <w:rsid w:val="06565268"/>
    <w:rsid w:val="065751F3"/>
    <w:rsid w:val="0672090F"/>
    <w:rsid w:val="067408B2"/>
    <w:rsid w:val="06776A1A"/>
    <w:rsid w:val="06AC0092"/>
    <w:rsid w:val="06D0565B"/>
    <w:rsid w:val="06D849E3"/>
    <w:rsid w:val="06DE56BC"/>
    <w:rsid w:val="06DF5D71"/>
    <w:rsid w:val="07407CDF"/>
    <w:rsid w:val="07534DA6"/>
    <w:rsid w:val="07794418"/>
    <w:rsid w:val="07862691"/>
    <w:rsid w:val="07A2552E"/>
    <w:rsid w:val="07FF43E0"/>
    <w:rsid w:val="083625A8"/>
    <w:rsid w:val="08390DC9"/>
    <w:rsid w:val="08445A22"/>
    <w:rsid w:val="086F112D"/>
    <w:rsid w:val="087F6A40"/>
    <w:rsid w:val="08856DEC"/>
    <w:rsid w:val="08A20B90"/>
    <w:rsid w:val="08A369B3"/>
    <w:rsid w:val="08BF75BF"/>
    <w:rsid w:val="08C77228"/>
    <w:rsid w:val="08E229AA"/>
    <w:rsid w:val="08F628C0"/>
    <w:rsid w:val="09734E97"/>
    <w:rsid w:val="09F44AB3"/>
    <w:rsid w:val="0A4B0665"/>
    <w:rsid w:val="0A55104F"/>
    <w:rsid w:val="0A577E65"/>
    <w:rsid w:val="0A665876"/>
    <w:rsid w:val="0AB25F2F"/>
    <w:rsid w:val="0AFA408B"/>
    <w:rsid w:val="0AFA6F19"/>
    <w:rsid w:val="0AFD1854"/>
    <w:rsid w:val="0B1A7072"/>
    <w:rsid w:val="0B797011"/>
    <w:rsid w:val="0B8213C1"/>
    <w:rsid w:val="0BB0415B"/>
    <w:rsid w:val="0BDF5118"/>
    <w:rsid w:val="0BEC4EA3"/>
    <w:rsid w:val="0BF17983"/>
    <w:rsid w:val="0BF3017E"/>
    <w:rsid w:val="0C577B82"/>
    <w:rsid w:val="0C8C6B04"/>
    <w:rsid w:val="0CA86423"/>
    <w:rsid w:val="0CC51EAD"/>
    <w:rsid w:val="0CFB489F"/>
    <w:rsid w:val="0CFD33F5"/>
    <w:rsid w:val="0D314E4D"/>
    <w:rsid w:val="0D3628B4"/>
    <w:rsid w:val="0E4C56BC"/>
    <w:rsid w:val="0E4F5A45"/>
    <w:rsid w:val="0E5C02D2"/>
    <w:rsid w:val="0E883192"/>
    <w:rsid w:val="0E883613"/>
    <w:rsid w:val="0F0858DB"/>
    <w:rsid w:val="0F41530F"/>
    <w:rsid w:val="0F4D618B"/>
    <w:rsid w:val="0F661E14"/>
    <w:rsid w:val="0F681BE4"/>
    <w:rsid w:val="0F7E3C94"/>
    <w:rsid w:val="0F944C2D"/>
    <w:rsid w:val="0FD22917"/>
    <w:rsid w:val="0FE60171"/>
    <w:rsid w:val="10005E22"/>
    <w:rsid w:val="10130109"/>
    <w:rsid w:val="10150A56"/>
    <w:rsid w:val="103B4181"/>
    <w:rsid w:val="10744BC0"/>
    <w:rsid w:val="10C5784A"/>
    <w:rsid w:val="10F041BF"/>
    <w:rsid w:val="11131E8B"/>
    <w:rsid w:val="1123334D"/>
    <w:rsid w:val="112620FA"/>
    <w:rsid w:val="11337CAD"/>
    <w:rsid w:val="11372E17"/>
    <w:rsid w:val="11422881"/>
    <w:rsid w:val="11496C09"/>
    <w:rsid w:val="11621A79"/>
    <w:rsid w:val="11AB145E"/>
    <w:rsid w:val="11C1106B"/>
    <w:rsid w:val="11C53D30"/>
    <w:rsid w:val="11CD1810"/>
    <w:rsid w:val="11E466CA"/>
    <w:rsid w:val="11E70DAB"/>
    <w:rsid w:val="11EE54ED"/>
    <w:rsid w:val="122C71F8"/>
    <w:rsid w:val="126A4496"/>
    <w:rsid w:val="126C1398"/>
    <w:rsid w:val="12B96010"/>
    <w:rsid w:val="12BD28B1"/>
    <w:rsid w:val="12F2798B"/>
    <w:rsid w:val="130E20AC"/>
    <w:rsid w:val="13321DC6"/>
    <w:rsid w:val="13340F8E"/>
    <w:rsid w:val="134F427F"/>
    <w:rsid w:val="1364178B"/>
    <w:rsid w:val="13A520F1"/>
    <w:rsid w:val="13B30506"/>
    <w:rsid w:val="13BA313A"/>
    <w:rsid w:val="14256268"/>
    <w:rsid w:val="14266985"/>
    <w:rsid w:val="143771ED"/>
    <w:rsid w:val="14542EE9"/>
    <w:rsid w:val="14750FB5"/>
    <w:rsid w:val="14BD3951"/>
    <w:rsid w:val="14CE2E98"/>
    <w:rsid w:val="14DF1D84"/>
    <w:rsid w:val="14E923B7"/>
    <w:rsid w:val="14F33FCB"/>
    <w:rsid w:val="150F3CC6"/>
    <w:rsid w:val="153674A4"/>
    <w:rsid w:val="15543510"/>
    <w:rsid w:val="158F7C6E"/>
    <w:rsid w:val="159760BE"/>
    <w:rsid w:val="15A16230"/>
    <w:rsid w:val="15A44FDE"/>
    <w:rsid w:val="15B825AF"/>
    <w:rsid w:val="15DD6038"/>
    <w:rsid w:val="15DF56D1"/>
    <w:rsid w:val="15EB16B7"/>
    <w:rsid w:val="160D5A63"/>
    <w:rsid w:val="161411B3"/>
    <w:rsid w:val="16232C28"/>
    <w:rsid w:val="1628142A"/>
    <w:rsid w:val="16384BD4"/>
    <w:rsid w:val="16697B0E"/>
    <w:rsid w:val="16C136E5"/>
    <w:rsid w:val="16C210AA"/>
    <w:rsid w:val="16D45082"/>
    <w:rsid w:val="16D6559E"/>
    <w:rsid w:val="16E55626"/>
    <w:rsid w:val="17105A3A"/>
    <w:rsid w:val="17345C65"/>
    <w:rsid w:val="17476441"/>
    <w:rsid w:val="17AD79E3"/>
    <w:rsid w:val="17B621FD"/>
    <w:rsid w:val="17BD53B9"/>
    <w:rsid w:val="17E56F60"/>
    <w:rsid w:val="17FA621E"/>
    <w:rsid w:val="1815706D"/>
    <w:rsid w:val="181834E3"/>
    <w:rsid w:val="18201F8D"/>
    <w:rsid w:val="182113D3"/>
    <w:rsid w:val="18552337"/>
    <w:rsid w:val="18A23D4F"/>
    <w:rsid w:val="18DF71DD"/>
    <w:rsid w:val="194D6DB5"/>
    <w:rsid w:val="19B223A6"/>
    <w:rsid w:val="19BA7B34"/>
    <w:rsid w:val="19C239FC"/>
    <w:rsid w:val="19CE05F3"/>
    <w:rsid w:val="19D62645"/>
    <w:rsid w:val="19D8421D"/>
    <w:rsid w:val="19E51499"/>
    <w:rsid w:val="1A1B1634"/>
    <w:rsid w:val="1A226249"/>
    <w:rsid w:val="1A3B555D"/>
    <w:rsid w:val="1A5A2AB3"/>
    <w:rsid w:val="1A9426DB"/>
    <w:rsid w:val="1B3426D8"/>
    <w:rsid w:val="1B5250EE"/>
    <w:rsid w:val="1B5E13AB"/>
    <w:rsid w:val="1B6D6BB1"/>
    <w:rsid w:val="1BC31FEF"/>
    <w:rsid w:val="1BCA6B98"/>
    <w:rsid w:val="1BDC7962"/>
    <w:rsid w:val="1C490EEC"/>
    <w:rsid w:val="1C9655C8"/>
    <w:rsid w:val="1CBF7ED4"/>
    <w:rsid w:val="1CD64F6B"/>
    <w:rsid w:val="1CD7739A"/>
    <w:rsid w:val="1D2F2898"/>
    <w:rsid w:val="1D3229DD"/>
    <w:rsid w:val="1D343D5C"/>
    <w:rsid w:val="1D890F91"/>
    <w:rsid w:val="1E1F3CD7"/>
    <w:rsid w:val="1E236A34"/>
    <w:rsid w:val="1E8A2281"/>
    <w:rsid w:val="1E997498"/>
    <w:rsid w:val="1FC90FD1"/>
    <w:rsid w:val="20170F4D"/>
    <w:rsid w:val="201A79C2"/>
    <w:rsid w:val="201D164D"/>
    <w:rsid w:val="208E0E92"/>
    <w:rsid w:val="20A47853"/>
    <w:rsid w:val="20B9542D"/>
    <w:rsid w:val="20D14525"/>
    <w:rsid w:val="213F027D"/>
    <w:rsid w:val="215D04D5"/>
    <w:rsid w:val="21A4371E"/>
    <w:rsid w:val="21A61D5A"/>
    <w:rsid w:val="21B005DE"/>
    <w:rsid w:val="21DE514B"/>
    <w:rsid w:val="221601AD"/>
    <w:rsid w:val="22462CF1"/>
    <w:rsid w:val="22F61C41"/>
    <w:rsid w:val="23247961"/>
    <w:rsid w:val="236C3CC3"/>
    <w:rsid w:val="23AC55B5"/>
    <w:rsid w:val="23D528B6"/>
    <w:rsid w:val="23E02FAC"/>
    <w:rsid w:val="24172B97"/>
    <w:rsid w:val="241D724F"/>
    <w:rsid w:val="2445541E"/>
    <w:rsid w:val="2452047D"/>
    <w:rsid w:val="24762D35"/>
    <w:rsid w:val="24890CA6"/>
    <w:rsid w:val="24A24CC0"/>
    <w:rsid w:val="24AA400C"/>
    <w:rsid w:val="24F15196"/>
    <w:rsid w:val="25075AEF"/>
    <w:rsid w:val="25237319"/>
    <w:rsid w:val="254C2D14"/>
    <w:rsid w:val="255322E4"/>
    <w:rsid w:val="256F06FB"/>
    <w:rsid w:val="25737558"/>
    <w:rsid w:val="25992251"/>
    <w:rsid w:val="25B74631"/>
    <w:rsid w:val="26020494"/>
    <w:rsid w:val="264D464E"/>
    <w:rsid w:val="2650491E"/>
    <w:rsid w:val="26994B5A"/>
    <w:rsid w:val="26F133A0"/>
    <w:rsid w:val="26FC1364"/>
    <w:rsid w:val="272C0707"/>
    <w:rsid w:val="27550722"/>
    <w:rsid w:val="27855B54"/>
    <w:rsid w:val="27985D9D"/>
    <w:rsid w:val="27A97FAA"/>
    <w:rsid w:val="27B9557E"/>
    <w:rsid w:val="27DD6599"/>
    <w:rsid w:val="27E10E11"/>
    <w:rsid w:val="27ED3B13"/>
    <w:rsid w:val="28185989"/>
    <w:rsid w:val="28256870"/>
    <w:rsid w:val="28666C3A"/>
    <w:rsid w:val="28723387"/>
    <w:rsid w:val="28776092"/>
    <w:rsid w:val="28861624"/>
    <w:rsid w:val="28947564"/>
    <w:rsid w:val="28E62B38"/>
    <w:rsid w:val="29415274"/>
    <w:rsid w:val="29521449"/>
    <w:rsid w:val="296315D6"/>
    <w:rsid w:val="298A3F8B"/>
    <w:rsid w:val="29A532AA"/>
    <w:rsid w:val="29AA0009"/>
    <w:rsid w:val="29B26368"/>
    <w:rsid w:val="29CE5AA6"/>
    <w:rsid w:val="29D81524"/>
    <w:rsid w:val="2A097123"/>
    <w:rsid w:val="2A280446"/>
    <w:rsid w:val="2A570191"/>
    <w:rsid w:val="2A7C6EF7"/>
    <w:rsid w:val="2ABA427C"/>
    <w:rsid w:val="2ADC5DBA"/>
    <w:rsid w:val="2B1F7AE5"/>
    <w:rsid w:val="2B2D0861"/>
    <w:rsid w:val="2B52384D"/>
    <w:rsid w:val="2B8B753A"/>
    <w:rsid w:val="2BC02930"/>
    <w:rsid w:val="2BDB6BA0"/>
    <w:rsid w:val="2BE155D8"/>
    <w:rsid w:val="2BEA2015"/>
    <w:rsid w:val="2BFE6AE3"/>
    <w:rsid w:val="2C2C1A78"/>
    <w:rsid w:val="2C331136"/>
    <w:rsid w:val="2C853C4D"/>
    <w:rsid w:val="2C9034E6"/>
    <w:rsid w:val="2CB5119F"/>
    <w:rsid w:val="2CBA4A07"/>
    <w:rsid w:val="2CC065F2"/>
    <w:rsid w:val="2CDA3697"/>
    <w:rsid w:val="2CDE6160"/>
    <w:rsid w:val="2D340315"/>
    <w:rsid w:val="2D940DB4"/>
    <w:rsid w:val="2DEA40E9"/>
    <w:rsid w:val="2E096ED2"/>
    <w:rsid w:val="2E80471D"/>
    <w:rsid w:val="2EFB30ED"/>
    <w:rsid w:val="2F0834D3"/>
    <w:rsid w:val="2F180164"/>
    <w:rsid w:val="2F1C0720"/>
    <w:rsid w:val="2F51603C"/>
    <w:rsid w:val="2F66425C"/>
    <w:rsid w:val="2F8B238B"/>
    <w:rsid w:val="2FDC0302"/>
    <w:rsid w:val="2FF36824"/>
    <w:rsid w:val="302C5E7B"/>
    <w:rsid w:val="30AE6DA3"/>
    <w:rsid w:val="31041BC9"/>
    <w:rsid w:val="31295CB7"/>
    <w:rsid w:val="313C7E60"/>
    <w:rsid w:val="3170352D"/>
    <w:rsid w:val="319A323E"/>
    <w:rsid w:val="31BA0131"/>
    <w:rsid w:val="31EA53BE"/>
    <w:rsid w:val="31F220E8"/>
    <w:rsid w:val="31F6028F"/>
    <w:rsid w:val="320E11A1"/>
    <w:rsid w:val="321D4941"/>
    <w:rsid w:val="32AE0B6A"/>
    <w:rsid w:val="32E64A07"/>
    <w:rsid w:val="3301174B"/>
    <w:rsid w:val="3301513E"/>
    <w:rsid w:val="33150BE9"/>
    <w:rsid w:val="33486993"/>
    <w:rsid w:val="33561A7E"/>
    <w:rsid w:val="33690077"/>
    <w:rsid w:val="337330EA"/>
    <w:rsid w:val="339715FE"/>
    <w:rsid w:val="33A22C77"/>
    <w:rsid w:val="33A3614A"/>
    <w:rsid w:val="342F298B"/>
    <w:rsid w:val="344761C7"/>
    <w:rsid w:val="34913173"/>
    <w:rsid w:val="34A97F62"/>
    <w:rsid w:val="34BA3DE1"/>
    <w:rsid w:val="34C46249"/>
    <w:rsid w:val="34D929AB"/>
    <w:rsid w:val="350B5E00"/>
    <w:rsid w:val="352B5647"/>
    <w:rsid w:val="3554615D"/>
    <w:rsid w:val="35C44201"/>
    <w:rsid w:val="35C64383"/>
    <w:rsid w:val="36140FDD"/>
    <w:rsid w:val="361433DA"/>
    <w:rsid w:val="36281CA1"/>
    <w:rsid w:val="36965B9D"/>
    <w:rsid w:val="369E29BA"/>
    <w:rsid w:val="36CE3589"/>
    <w:rsid w:val="37A343FC"/>
    <w:rsid w:val="37D7504F"/>
    <w:rsid w:val="37DA6E30"/>
    <w:rsid w:val="3809287A"/>
    <w:rsid w:val="382968F9"/>
    <w:rsid w:val="38AD7EB1"/>
    <w:rsid w:val="38CD5909"/>
    <w:rsid w:val="38EB786F"/>
    <w:rsid w:val="39816CFB"/>
    <w:rsid w:val="399B34CA"/>
    <w:rsid w:val="39DA3FF3"/>
    <w:rsid w:val="3A100AAD"/>
    <w:rsid w:val="3A2A4F7A"/>
    <w:rsid w:val="3A7B27DC"/>
    <w:rsid w:val="3A88267B"/>
    <w:rsid w:val="3AB01ADB"/>
    <w:rsid w:val="3AF7183E"/>
    <w:rsid w:val="3AF92500"/>
    <w:rsid w:val="3B0357CB"/>
    <w:rsid w:val="3B3F169B"/>
    <w:rsid w:val="3B506C62"/>
    <w:rsid w:val="3B547BBA"/>
    <w:rsid w:val="3B6145EC"/>
    <w:rsid w:val="3C0C3610"/>
    <w:rsid w:val="3C9012E0"/>
    <w:rsid w:val="3C9361D9"/>
    <w:rsid w:val="3C9F6685"/>
    <w:rsid w:val="3CC52B28"/>
    <w:rsid w:val="3CE24DF8"/>
    <w:rsid w:val="3D1555AF"/>
    <w:rsid w:val="3D7822D0"/>
    <w:rsid w:val="3DA80438"/>
    <w:rsid w:val="3DB37034"/>
    <w:rsid w:val="3DCF4C66"/>
    <w:rsid w:val="3DD86A9B"/>
    <w:rsid w:val="3E0B0C1F"/>
    <w:rsid w:val="3E6D4D54"/>
    <w:rsid w:val="3EAB5E00"/>
    <w:rsid w:val="3EB24B6D"/>
    <w:rsid w:val="3ECB5C0B"/>
    <w:rsid w:val="3ED93B36"/>
    <w:rsid w:val="3EEB139D"/>
    <w:rsid w:val="3EF45B57"/>
    <w:rsid w:val="3EFA651F"/>
    <w:rsid w:val="3F145CA2"/>
    <w:rsid w:val="3F570DE1"/>
    <w:rsid w:val="3F5D1294"/>
    <w:rsid w:val="3F70114B"/>
    <w:rsid w:val="3FBE1F93"/>
    <w:rsid w:val="3FCF504A"/>
    <w:rsid w:val="4020413F"/>
    <w:rsid w:val="40291830"/>
    <w:rsid w:val="40490650"/>
    <w:rsid w:val="416F1B5E"/>
    <w:rsid w:val="42334885"/>
    <w:rsid w:val="428D7272"/>
    <w:rsid w:val="428F6E7B"/>
    <w:rsid w:val="42AB42DE"/>
    <w:rsid w:val="42DC702D"/>
    <w:rsid w:val="42E11FE6"/>
    <w:rsid w:val="42FC147E"/>
    <w:rsid w:val="435376C6"/>
    <w:rsid w:val="436A50A6"/>
    <w:rsid w:val="437E43D8"/>
    <w:rsid w:val="43861E27"/>
    <w:rsid w:val="43BB295E"/>
    <w:rsid w:val="43BE3CE6"/>
    <w:rsid w:val="43FC05BD"/>
    <w:rsid w:val="440871B1"/>
    <w:rsid w:val="44114AB5"/>
    <w:rsid w:val="441F1311"/>
    <w:rsid w:val="44354C47"/>
    <w:rsid w:val="44374609"/>
    <w:rsid w:val="445E5650"/>
    <w:rsid w:val="44670B79"/>
    <w:rsid w:val="448E5DEE"/>
    <w:rsid w:val="44C207FD"/>
    <w:rsid w:val="44ED5DE7"/>
    <w:rsid w:val="45113D93"/>
    <w:rsid w:val="45264105"/>
    <w:rsid w:val="454D5A63"/>
    <w:rsid w:val="45594965"/>
    <w:rsid w:val="45DB35CC"/>
    <w:rsid w:val="45E806F2"/>
    <w:rsid w:val="45F61A06"/>
    <w:rsid w:val="46026E27"/>
    <w:rsid w:val="4642140F"/>
    <w:rsid w:val="46712183"/>
    <w:rsid w:val="4681329C"/>
    <w:rsid w:val="46995257"/>
    <w:rsid w:val="471A69C9"/>
    <w:rsid w:val="472E3805"/>
    <w:rsid w:val="477E37B8"/>
    <w:rsid w:val="478C329D"/>
    <w:rsid w:val="47975239"/>
    <w:rsid w:val="4798403B"/>
    <w:rsid w:val="47C11B97"/>
    <w:rsid w:val="47C6205A"/>
    <w:rsid w:val="47D00F5A"/>
    <w:rsid w:val="47DD67FE"/>
    <w:rsid w:val="48345335"/>
    <w:rsid w:val="48AE4FC8"/>
    <w:rsid w:val="48AF7A40"/>
    <w:rsid w:val="48B63E7D"/>
    <w:rsid w:val="48F50E49"/>
    <w:rsid w:val="491665D2"/>
    <w:rsid w:val="49874AE4"/>
    <w:rsid w:val="498B26EA"/>
    <w:rsid w:val="49B979B9"/>
    <w:rsid w:val="49EE1E40"/>
    <w:rsid w:val="4A0A5591"/>
    <w:rsid w:val="4A19054F"/>
    <w:rsid w:val="4A287224"/>
    <w:rsid w:val="4A2D7B97"/>
    <w:rsid w:val="4A5960EB"/>
    <w:rsid w:val="4A936A61"/>
    <w:rsid w:val="4AC03EE3"/>
    <w:rsid w:val="4AEE353D"/>
    <w:rsid w:val="4AF85E89"/>
    <w:rsid w:val="4B0610EB"/>
    <w:rsid w:val="4B074E64"/>
    <w:rsid w:val="4B08477A"/>
    <w:rsid w:val="4B307F16"/>
    <w:rsid w:val="4B3D702B"/>
    <w:rsid w:val="4B7A0B6B"/>
    <w:rsid w:val="4BAC1198"/>
    <w:rsid w:val="4BB11155"/>
    <w:rsid w:val="4D07739D"/>
    <w:rsid w:val="4D106251"/>
    <w:rsid w:val="4D7151D9"/>
    <w:rsid w:val="4D8D6031"/>
    <w:rsid w:val="4DB25F9C"/>
    <w:rsid w:val="4DBB752D"/>
    <w:rsid w:val="4DEF5027"/>
    <w:rsid w:val="4DFE1833"/>
    <w:rsid w:val="4E2F531C"/>
    <w:rsid w:val="4E401513"/>
    <w:rsid w:val="4E481A1B"/>
    <w:rsid w:val="4E593C28"/>
    <w:rsid w:val="4E89416D"/>
    <w:rsid w:val="4EB96475"/>
    <w:rsid w:val="4F10078B"/>
    <w:rsid w:val="4F2E05CF"/>
    <w:rsid w:val="4F4A73E6"/>
    <w:rsid w:val="4F682C9C"/>
    <w:rsid w:val="4F703FA0"/>
    <w:rsid w:val="4F7A0F11"/>
    <w:rsid w:val="4F7D4F41"/>
    <w:rsid w:val="4F934321"/>
    <w:rsid w:val="4F9D7EE8"/>
    <w:rsid w:val="4FB71D93"/>
    <w:rsid w:val="4FB92D3B"/>
    <w:rsid w:val="4FD572DE"/>
    <w:rsid w:val="503F4FD7"/>
    <w:rsid w:val="5065440B"/>
    <w:rsid w:val="509E5922"/>
    <w:rsid w:val="50CE5B20"/>
    <w:rsid w:val="50F071E5"/>
    <w:rsid w:val="50F23EBA"/>
    <w:rsid w:val="5122732D"/>
    <w:rsid w:val="515B2086"/>
    <w:rsid w:val="51BC5BA1"/>
    <w:rsid w:val="524B1ADA"/>
    <w:rsid w:val="52587686"/>
    <w:rsid w:val="52674F71"/>
    <w:rsid w:val="527740DA"/>
    <w:rsid w:val="529A65BD"/>
    <w:rsid w:val="52AA2DC5"/>
    <w:rsid w:val="52B45694"/>
    <w:rsid w:val="52C8137C"/>
    <w:rsid w:val="52FA00CE"/>
    <w:rsid w:val="53334A48"/>
    <w:rsid w:val="534B126C"/>
    <w:rsid w:val="539E049F"/>
    <w:rsid w:val="53E126F6"/>
    <w:rsid w:val="53F82099"/>
    <w:rsid w:val="54040F56"/>
    <w:rsid w:val="5406215B"/>
    <w:rsid w:val="540B0CFD"/>
    <w:rsid w:val="540C4612"/>
    <w:rsid w:val="540C7DCC"/>
    <w:rsid w:val="54121BC0"/>
    <w:rsid w:val="54177EC5"/>
    <w:rsid w:val="54292299"/>
    <w:rsid w:val="546B1599"/>
    <w:rsid w:val="552664CE"/>
    <w:rsid w:val="552A59D6"/>
    <w:rsid w:val="55545C2A"/>
    <w:rsid w:val="55B711E8"/>
    <w:rsid w:val="55F37CBE"/>
    <w:rsid w:val="56366E1A"/>
    <w:rsid w:val="56690D56"/>
    <w:rsid w:val="566B6CBE"/>
    <w:rsid w:val="569525E0"/>
    <w:rsid w:val="56E04EE6"/>
    <w:rsid w:val="56F73FDE"/>
    <w:rsid w:val="570D735E"/>
    <w:rsid w:val="5714693E"/>
    <w:rsid w:val="571526B6"/>
    <w:rsid w:val="578A30A4"/>
    <w:rsid w:val="57FB4293"/>
    <w:rsid w:val="580C5867"/>
    <w:rsid w:val="58985346"/>
    <w:rsid w:val="589B04C7"/>
    <w:rsid w:val="58BD2CD8"/>
    <w:rsid w:val="58BF7D2E"/>
    <w:rsid w:val="58C85B2D"/>
    <w:rsid w:val="58D00315"/>
    <w:rsid w:val="58DA1EC3"/>
    <w:rsid w:val="58F76517"/>
    <w:rsid w:val="59AC10B0"/>
    <w:rsid w:val="59E83457"/>
    <w:rsid w:val="5A0709DC"/>
    <w:rsid w:val="5A5B2AD6"/>
    <w:rsid w:val="5A6215EA"/>
    <w:rsid w:val="5A9164A4"/>
    <w:rsid w:val="5B996833"/>
    <w:rsid w:val="5BB16E51"/>
    <w:rsid w:val="5BB4093F"/>
    <w:rsid w:val="5BEC2444"/>
    <w:rsid w:val="5C2649D0"/>
    <w:rsid w:val="5C822DBD"/>
    <w:rsid w:val="5C927368"/>
    <w:rsid w:val="5C9C18B0"/>
    <w:rsid w:val="5D106DA2"/>
    <w:rsid w:val="5D151CFA"/>
    <w:rsid w:val="5D4B472B"/>
    <w:rsid w:val="5DD136F2"/>
    <w:rsid w:val="5E194F76"/>
    <w:rsid w:val="5E391380"/>
    <w:rsid w:val="5E4028B4"/>
    <w:rsid w:val="5E6D4B86"/>
    <w:rsid w:val="5EC155FD"/>
    <w:rsid w:val="5EFC45A8"/>
    <w:rsid w:val="5F5813D4"/>
    <w:rsid w:val="5F910AED"/>
    <w:rsid w:val="5FA40A7B"/>
    <w:rsid w:val="5FB107D5"/>
    <w:rsid w:val="5FB90B6D"/>
    <w:rsid w:val="5FBB1528"/>
    <w:rsid w:val="5FF01AA3"/>
    <w:rsid w:val="60482AC4"/>
    <w:rsid w:val="60660ED7"/>
    <w:rsid w:val="607E0C8E"/>
    <w:rsid w:val="60A2130A"/>
    <w:rsid w:val="61477910"/>
    <w:rsid w:val="616137D5"/>
    <w:rsid w:val="617C1324"/>
    <w:rsid w:val="61C835B6"/>
    <w:rsid w:val="61FE4473"/>
    <w:rsid w:val="62432AB1"/>
    <w:rsid w:val="628757F1"/>
    <w:rsid w:val="62C425BA"/>
    <w:rsid w:val="62D81168"/>
    <w:rsid w:val="62E775FD"/>
    <w:rsid w:val="63294A24"/>
    <w:rsid w:val="63360671"/>
    <w:rsid w:val="634C0068"/>
    <w:rsid w:val="63534C92"/>
    <w:rsid w:val="63C36903"/>
    <w:rsid w:val="63CB65D6"/>
    <w:rsid w:val="642F125B"/>
    <w:rsid w:val="643A72EE"/>
    <w:rsid w:val="64487C27"/>
    <w:rsid w:val="647D26AA"/>
    <w:rsid w:val="649B6A7A"/>
    <w:rsid w:val="64A84F09"/>
    <w:rsid w:val="64B8037A"/>
    <w:rsid w:val="64FB2EEB"/>
    <w:rsid w:val="65646CE3"/>
    <w:rsid w:val="657D7DA4"/>
    <w:rsid w:val="6587477F"/>
    <w:rsid w:val="65A92947"/>
    <w:rsid w:val="65EE2A50"/>
    <w:rsid w:val="65FC75FE"/>
    <w:rsid w:val="66202D4E"/>
    <w:rsid w:val="664F6FE3"/>
    <w:rsid w:val="668F7A48"/>
    <w:rsid w:val="66A357B6"/>
    <w:rsid w:val="66C043ED"/>
    <w:rsid w:val="66E20DA6"/>
    <w:rsid w:val="675D07F5"/>
    <w:rsid w:val="675F4E61"/>
    <w:rsid w:val="67AD4FC4"/>
    <w:rsid w:val="67C749BF"/>
    <w:rsid w:val="67CD5013"/>
    <w:rsid w:val="67DF2091"/>
    <w:rsid w:val="67FB59E2"/>
    <w:rsid w:val="68171BE1"/>
    <w:rsid w:val="682A6237"/>
    <w:rsid w:val="684D1CB0"/>
    <w:rsid w:val="6870614B"/>
    <w:rsid w:val="688A4CB2"/>
    <w:rsid w:val="68C24FEE"/>
    <w:rsid w:val="68D128E1"/>
    <w:rsid w:val="68F46EF8"/>
    <w:rsid w:val="695053F4"/>
    <w:rsid w:val="69AC3369"/>
    <w:rsid w:val="69B66053"/>
    <w:rsid w:val="69CB6987"/>
    <w:rsid w:val="69CD3351"/>
    <w:rsid w:val="69E70F90"/>
    <w:rsid w:val="6A22716C"/>
    <w:rsid w:val="6A3837D6"/>
    <w:rsid w:val="6A7F45BF"/>
    <w:rsid w:val="6A9242F2"/>
    <w:rsid w:val="6A95793E"/>
    <w:rsid w:val="6AAF6C52"/>
    <w:rsid w:val="6AD93BB1"/>
    <w:rsid w:val="6B35107F"/>
    <w:rsid w:val="6B4C6521"/>
    <w:rsid w:val="6B7246D9"/>
    <w:rsid w:val="6B77742B"/>
    <w:rsid w:val="6BB26150"/>
    <w:rsid w:val="6BDC1832"/>
    <w:rsid w:val="6BEC7124"/>
    <w:rsid w:val="6C3867D3"/>
    <w:rsid w:val="6C3B0D39"/>
    <w:rsid w:val="6C894311"/>
    <w:rsid w:val="6C9003BD"/>
    <w:rsid w:val="6CB53DA2"/>
    <w:rsid w:val="6CDC2672"/>
    <w:rsid w:val="6CFF1C13"/>
    <w:rsid w:val="6D522B48"/>
    <w:rsid w:val="6D68758C"/>
    <w:rsid w:val="6D7101EF"/>
    <w:rsid w:val="6DAE5390"/>
    <w:rsid w:val="6DB954D6"/>
    <w:rsid w:val="6DD36752"/>
    <w:rsid w:val="6E2039C3"/>
    <w:rsid w:val="6E2C27D3"/>
    <w:rsid w:val="6E5C7E54"/>
    <w:rsid w:val="6E6D3389"/>
    <w:rsid w:val="6E7525E7"/>
    <w:rsid w:val="6EB90B8D"/>
    <w:rsid w:val="6EBA7B5D"/>
    <w:rsid w:val="6F01362A"/>
    <w:rsid w:val="6F7246F2"/>
    <w:rsid w:val="6F8E013C"/>
    <w:rsid w:val="6F8E105B"/>
    <w:rsid w:val="6FB950CB"/>
    <w:rsid w:val="70165C52"/>
    <w:rsid w:val="704545D0"/>
    <w:rsid w:val="70860455"/>
    <w:rsid w:val="7095647B"/>
    <w:rsid w:val="709A5AD0"/>
    <w:rsid w:val="70B662DB"/>
    <w:rsid w:val="70C14F41"/>
    <w:rsid w:val="70F4267C"/>
    <w:rsid w:val="711C4915"/>
    <w:rsid w:val="720A7916"/>
    <w:rsid w:val="721E646B"/>
    <w:rsid w:val="72381B25"/>
    <w:rsid w:val="7267799F"/>
    <w:rsid w:val="72727EC1"/>
    <w:rsid w:val="729E19CA"/>
    <w:rsid w:val="72A2467F"/>
    <w:rsid w:val="72BA699C"/>
    <w:rsid w:val="72D637F2"/>
    <w:rsid w:val="72F95E95"/>
    <w:rsid w:val="73292AB0"/>
    <w:rsid w:val="732B0E40"/>
    <w:rsid w:val="734144F5"/>
    <w:rsid w:val="736D04B7"/>
    <w:rsid w:val="73E41D8F"/>
    <w:rsid w:val="74162C4D"/>
    <w:rsid w:val="741C0755"/>
    <w:rsid w:val="74294865"/>
    <w:rsid w:val="74490587"/>
    <w:rsid w:val="74832A5E"/>
    <w:rsid w:val="74A14A82"/>
    <w:rsid w:val="74CD19F0"/>
    <w:rsid w:val="752C0E9F"/>
    <w:rsid w:val="757643E3"/>
    <w:rsid w:val="757A29B6"/>
    <w:rsid w:val="758B02BC"/>
    <w:rsid w:val="75D23305"/>
    <w:rsid w:val="75D31DB9"/>
    <w:rsid w:val="75DA1077"/>
    <w:rsid w:val="75F61BD9"/>
    <w:rsid w:val="76197675"/>
    <w:rsid w:val="762E2F35"/>
    <w:rsid w:val="7647585A"/>
    <w:rsid w:val="7657019E"/>
    <w:rsid w:val="76825F04"/>
    <w:rsid w:val="770C2D36"/>
    <w:rsid w:val="772E7A2D"/>
    <w:rsid w:val="77385F0B"/>
    <w:rsid w:val="775168D0"/>
    <w:rsid w:val="775243CA"/>
    <w:rsid w:val="77AE203F"/>
    <w:rsid w:val="77D870BC"/>
    <w:rsid w:val="77DD300D"/>
    <w:rsid w:val="77F92FE4"/>
    <w:rsid w:val="780F1052"/>
    <w:rsid w:val="783743FC"/>
    <w:rsid w:val="78485FF0"/>
    <w:rsid w:val="785D5F3F"/>
    <w:rsid w:val="78623556"/>
    <w:rsid w:val="788D04F9"/>
    <w:rsid w:val="789B6A68"/>
    <w:rsid w:val="78A25E14"/>
    <w:rsid w:val="78B5347B"/>
    <w:rsid w:val="78CA10FB"/>
    <w:rsid w:val="78E8332F"/>
    <w:rsid w:val="795F37FA"/>
    <w:rsid w:val="79627363"/>
    <w:rsid w:val="79654980"/>
    <w:rsid w:val="7966198E"/>
    <w:rsid w:val="79970A71"/>
    <w:rsid w:val="7A095172"/>
    <w:rsid w:val="7A686051"/>
    <w:rsid w:val="7A88301C"/>
    <w:rsid w:val="7A9B4FFB"/>
    <w:rsid w:val="7AD363C2"/>
    <w:rsid w:val="7ADC7DD9"/>
    <w:rsid w:val="7AEC0CF9"/>
    <w:rsid w:val="7B161C7E"/>
    <w:rsid w:val="7B39690D"/>
    <w:rsid w:val="7B440206"/>
    <w:rsid w:val="7B5D1DB2"/>
    <w:rsid w:val="7B5F5B2A"/>
    <w:rsid w:val="7B7018CD"/>
    <w:rsid w:val="7BB42EE7"/>
    <w:rsid w:val="7BC63E4F"/>
    <w:rsid w:val="7BFD106A"/>
    <w:rsid w:val="7CB225D2"/>
    <w:rsid w:val="7CB70FD0"/>
    <w:rsid w:val="7CFC7DC0"/>
    <w:rsid w:val="7D221241"/>
    <w:rsid w:val="7D2A013A"/>
    <w:rsid w:val="7D697A10"/>
    <w:rsid w:val="7D6B56E0"/>
    <w:rsid w:val="7D761851"/>
    <w:rsid w:val="7D7B387C"/>
    <w:rsid w:val="7D950DFA"/>
    <w:rsid w:val="7DD32800"/>
    <w:rsid w:val="7E084686"/>
    <w:rsid w:val="7E2235DD"/>
    <w:rsid w:val="7E3C5EC4"/>
    <w:rsid w:val="7E3D5ECB"/>
    <w:rsid w:val="7E5B6AFB"/>
    <w:rsid w:val="7E775B2D"/>
    <w:rsid w:val="7E7A5621"/>
    <w:rsid w:val="7E8A7362"/>
    <w:rsid w:val="7E8C57B2"/>
    <w:rsid w:val="7E9E696A"/>
    <w:rsid w:val="7EA728D8"/>
    <w:rsid w:val="7EC6242E"/>
    <w:rsid w:val="7EFB364E"/>
    <w:rsid w:val="7F025D75"/>
    <w:rsid w:val="7F9E5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qFormat="1" w:uiPriority="39" w:semiHidden="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415" w:lineRule="auto"/>
      <w:ind w:firstLine="0"/>
      <w:outlineLvl w:val="1"/>
    </w:pPr>
    <w:rPr>
      <w:rFonts w:ascii="Cambria" w:hAnsi="Cambria" w:cs="宋体"/>
      <w:b/>
      <w:bCs/>
      <w:sz w:val="32"/>
      <w:szCs w:val="32"/>
    </w:rPr>
  </w:style>
  <w:style w:type="paragraph" w:styleId="5">
    <w:name w:val="heading 4"/>
    <w:basedOn w:val="1"/>
    <w:next w:val="1"/>
    <w:link w:val="3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0"/>
  </w:style>
  <w:style w:type="paragraph" w:styleId="6">
    <w:name w:val="toc 7"/>
    <w:basedOn w:val="1"/>
    <w:next w:val="1"/>
    <w:qFormat/>
    <w:uiPriority w:val="0"/>
    <w:pPr>
      <w:spacing w:line="240" w:lineRule="auto"/>
      <w:ind w:left="1260" w:firstLine="0"/>
      <w:jc w:val="left"/>
    </w:pPr>
    <w:rPr>
      <w:rFonts w:ascii="Calibri" w:hAnsi="Calibri" w:cs="Calibri"/>
      <w:sz w:val="18"/>
      <w:szCs w:val="18"/>
    </w:rPr>
  </w:style>
  <w:style w:type="paragraph" w:styleId="7">
    <w:name w:val="Normal Indent"/>
    <w:basedOn w:val="1"/>
    <w:next w:val="8"/>
    <w:qFormat/>
    <w:uiPriority w:val="99"/>
    <w:pPr>
      <w:ind w:firstLine="420" w:firstLineChars="200"/>
    </w:pPr>
    <w:rPr>
      <w:szCs w:val="21"/>
    </w:rPr>
  </w:style>
  <w:style w:type="paragraph" w:styleId="8">
    <w:name w:val="toc 4"/>
    <w:basedOn w:val="1"/>
    <w:next w:val="1"/>
    <w:unhideWhenUsed/>
    <w:qFormat/>
    <w:uiPriority w:val="39"/>
    <w:pPr>
      <w:tabs>
        <w:tab w:val="right" w:leader="dot" w:pos="9060"/>
      </w:tabs>
      <w:spacing w:before="0" w:beforeLines="0" w:after="0" w:afterLines="0"/>
      <w:ind w:left="600" w:leftChars="600"/>
    </w:pPr>
    <w:rPr>
      <w:sz w:val="21"/>
      <w:szCs w:val="21"/>
    </w:rPr>
  </w:style>
  <w:style w:type="paragraph" w:styleId="9">
    <w:name w:val="annotation text"/>
    <w:basedOn w:val="1"/>
    <w:link w:val="31"/>
    <w:qFormat/>
    <w:uiPriority w:val="99"/>
    <w:pPr>
      <w:jc w:val="left"/>
    </w:pPr>
  </w:style>
  <w:style w:type="paragraph" w:styleId="10">
    <w:name w:val="Body Text"/>
    <w:basedOn w:val="1"/>
    <w:next w:val="11"/>
    <w:link w:val="33"/>
    <w:unhideWhenUsed/>
    <w:qFormat/>
    <w:uiPriority w:val="99"/>
    <w:pPr>
      <w:spacing w:after="120" w:line="240" w:lineRule="auto"/>
      <w:ind w:firstLine="0"/>
    </w:pPr>
  </w:style>
  <w:style w:type="paragraph" w:customStyle="1" w:styleId="11">
    <w:name w:val="正文0"/>
    <w:basedOn w:val="1"/>
    <w:qFormat/>
    <w:uiPriority w:val="0"/>
    <w:rPr>
      <w:szCs w:val="24"/>
    </w:rPr>
  </w:style>
  <w:style w:type="paragraph" w:styleId="12">
    <w:name w:val="Body Text Indent"/>
    <w:basedOn w:val="1"/>
    <w:link w:val="34"/>
    <w:qFormat/>
    <w:uiPriority w:val="0"/>
    <w:pPr>
      <w:spacing w:line="300" w:lineRule="auto"/>
      <w:ind w:left="718" w:leftChars="342" w:firstLine="0"/>
    </w:pPr>
    <w:rPr>
      <w:rFonts w:ascii="仿宋_GB2312" w:hAnsi="宋体" w:eastAsia="仿宋_GB2312"/>
      <w:sz w:val="24"/>
    </w:rPr>
  </w:style>
  <w:style w:type="paragraph" w:styleId="13">
    <w:name w:val="Plain Text"/>
    <w:basedOn w:val="1"/>
    <w:next w:val="14"/>
    <w:link w:val="35"/>
    <w:qFormat/>
    <w:uiPriority w:val="0"/>
    <w:pPr>
      <w:spacing w:line="240" w:lineRule="auto"/>
      <w:ind w:firstLine="0"/>
    </w:pPr>
    <w:rPr>
      <w:rFonts w:ascii="宋体" w:hAnsi="Courier New"/>
      <w:kern w:val="0"/>
      <w:sz w:val="20"/>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5">
    <w:name w:val="Balloon Text"/>
    <w:basedOn w:val="1"/>
    <w:link w:val="36"/>
    <w:qFormat/>
    <w:uiPriority w:val="0"/>
    <w:pPr>
      <w:spacing w:line="240" w:lineRule="auto"/>
    </w:pPr>
    <w:rPr>
      <w:sz w:val="18"/>
      <w:szCs w:val="18"/>
    </w:rPr>
  </w:style>
  <w:style w:type="paragraph" w:styleId="16">
    <w:name w:val="footer"/>
    <w:basedOn w:val="1"/>
    <w:link w:val="62"/>
    <w:qFormat/>
    <w:uiPriority w:val="0"/>
    <w:pPr>
      <w:tabs>
        <w:tab w:val="center" w:pos="4153"/>
        <w:tab w:val="right" w:pos="8306"/>
      </w:tabs>
      <w:snapToGrid w:val="0"/>
      <w:spacing w:line="240" w:lineRule="auto"/>
      <w:jc w:val="left"/>
    </w:pPr>
    <w:rPr>
      <w:sz w:val="18"/>
      <w:szCs w:val="18"/>
    </w:rPr>
  </w:style>
  <w:style w:type="paragraph" w:styleId="17">
    <w:name w:val="header"/>
    <w:basedOn w:val="1"/>
    <w:link w:val="3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paragraph" w:styleId="20">
    <w:name w:val="Title"/>
    <w:basedOn w:val="1"/>
    <w:next w:val="1"/>
    <w:qFormat/>
    <w:uiPriority w:val="0"/>
    <w:pPr>
      <w:spacing w:before="240" w:after="60" w:line="240" w:lineRule="auto"/>
      <w:ind w:firstLine="0"/>
      <w:jc w:val="center"/>
      <w:outlineLvl w:val="0"/>
    </w:pPr>
    <w:rPr>
      <w:rFonts w:ascii="Cambria" w:hAnsi="Cambria"/>
      <w:b/>
      <w:bCs/>
      <w:kern w:val="0"/>
      <w:sz w:val="32"/>
      <w:szCs w:val="32"/>
    </w:rPr>
  </w:style>
  <w:style w:type="paragraph" w:styleId="21">
    <w:name w:val="annotation subject"/>
    <w:basedOn w:val="9"/>
    <w:next w:val="9"/>
    <w:link w:val="32"/>
    <w:qFormat/>
    <w:uiPriority w:val="0"/>
    <w:rPr>
      <w:b/>
      <w:bCs/>
    </w:rPr>
  </w:style>
  <w:style w:type="paragraph" w:styleId="22">
    <w:name w:val="Body Text First Indent"/>
    <w:basedOn w:val="10"/>
    <w:next w:val="1"/>
    <w:qFormat/>
    <w:uiPriority w:val="0"/>
    <w:pPr>
      <w:widowControl/>
      <w:ind w:firstLine="420" w:firstLineChars="100"/>
      <w:jc w:val="left"/>
    </w:pPr>
    <w:rPr>
      <w:rFonts w:ascii="Times New Roman"/>
      <w:sz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qFormat/>
    <w:uiPriority w:val="99"/>
    <w:rPr>
      <w:color w:val="0563C1"/>
      <w:u w:val="single"/>
    </w:rPr>
  </w:style>
  <w:style w:type="character" w:styleId="28">
    <w:name w:val="annotation reference"/>
    <w:basedOn w:val="25"/>
    <w:qFormat/>
    <w:uiPriority w:val="0"/>
    <w:rPr>
      <w:sz w:val="21"/>
      <w:szCs w:val="21"/>
    </w:rPr>
  </w:style>
  <w:style w:type="paragraph" w:customStyle="1" w:styleId="2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
    <w:name w:val="标题 4 Char"/>
    <w:basedOn w:val="25"/>
    <w:link w:val="5"/>
    <w:semiHidden/>
    <w:qFormat/>
    <w:uiPriority w:val="0"/>
    <w:rPr>
      <w:rFonts w:asciiTheme="majorHAnsi" w:hAnsiTheme="majorHAnsi" w:eastAsiaTheme="majorEastAsia" w:cstheme="majorBidi"/>
      <w:b/>
      <w:bCs/>
      <w:kern w:val="2"/>
      <w:sz w:val="28"/>
      <w:szCs w:val="28"/>
    </w:rPr>
  </w:style>
  <w:style w:type="character" w:customStyle="1" w:styleId="31">
    <w:name w:val="批注文字 Char"/>
    <w:basedOn w:val="25"/>
    <w:link w:val="9"/>
    <w:qFormat/>
    <w:uiPriority w:val="99"/>
    <w:rPr>
      <w:kern w:val="2"/>
      <w:sz w:val="21"/>
      <w:szCs w:val="24"/>
    </w:rPr>
  </w:style>
  <w:style w:type="character" w:customStyle="1" w:styleId="32">
    <w:name w:val="批注主题 Char"/>
    <w:basedOn w:val="31"/>
    <w:link w:val="21"/>
    <w:qFormat/>
    <w:uiPriority w:val="0"/>
    <w:rPr>
      <w:b/>
      <w:bCs/>
      <w:kern w:val="2"/>
      <w:sz w:val="21"/>
      <w:szCs w:val="24"/>
    </w:rPr>
  </w:style>
  <w:style w:type="character" w:customStyle="1" w:styleId="33">
    <w:name w:val="正文文本 Char"/>
    <w:basedOn w:val="25"/>
    <w:link w:val="10"/>
    <w:qFormat/>
    <w:uiPriority w:val="99"/>
    <w:rPr>
      <w:rFonts w:ascii="Times New Roman" w:hAnsi="Times New Roman"/>
      <w:kern w:val="2"/>
      <w:sz w:val="21"/>
      <w:szCs w:val="24"/>
    </w:rPr>
  </w:style>
  <w:style w:type="character" w:customStyle="1" w:styleId="34">
    <w:name w:val="正文文本缩进 Char"/>
    <w:basedOn w:val="25"/>
    <w:link w:val="12"/>
    <w:qFormat/>
    <w:uiPriority w:val="0"/>
    <w:rPr>
      <w:rFonts w:ascii="仿宋_GB2312" w:hAnsi="宋体" w:eastAsia="仿宋_GB2312"/>
      <w:kern w:val="2"/>
      <w:sz w:val="24"/>
      <w:szCs w:val="24"/>
    </w:rPr>
  </w:style>
  <w:style w:type="character" w:customStyle="1" w:styleId="35">
    <w:name w:val="纯文本 Char"/>
    <w:basedOn w:val="25"/>
    <w:link w:val="13"/>
    <w:qFormat/>
    <w:uiPriority w:val="0"/>
    <w:rPr>
      <w:rFonts w:ascii="宋体" w:hAnsi="Courier New"/>
      <w:szCs w:val="21"/>
    </w:rPr>
  </w:style>
  <w:style w:type="character" w:customStyle="1" w:styleId="36">
    <w:name w:val="批注框文本 Char"/>
    <w:basedOn w:val="25"/>
    <w:link w:val="15"/>
    <w:qFormat/>
    <w:uiPriority w:val="0"/>
    <w:rPr>
      <w:kern w:val="2"/>
      <w:sz w:val="18"/>
      <w:szCs w:val="18"/>
    </w:rPr>
  </w:style>
  <w:style w:type="character" w:customStyle="1" w:styleId="37">
    <w:name w:val="页眉 Char"/>
    <w:basedOn w:val="25"/>
    <w:link w:val="17"/>
    <w:qFormat/>
    <w:uiPriority w:val="0"/>
    <w:rPr>
      <w:kern w:val="2"/>
      <w:sz w:val="18"/>
      <w:szCs w:val="18"/>
    </w:rPr>
  </w:style>
  <w:style w:type="paragraph" w:styleId="38">
    <w:name w:val="List Paragraph"/>
    <w:basedOn w:val="1"/>
    <w:link w:val="39"/>
    <w:qFormat/>
    <w:uiPriority w:val="99"/>
    <w:pPr>
      <w:ind w:firstLine="420" w:firstLineChars="200"/>
    </w:pPr>
  </w:style>
  <w:style w:type="character" w:customStyle="1" w:styleId="39">
    <w:name w:val="列出段落 Char1"/>
    <w:link w:val="38"/>
    <w:qFormat/>
    <w:uiPriority w:val="99"/>
    <w:rPr>
      <w:kern w:val="2"/>
      <w:sz w:val="21"/>
      <w:szCs w:val="24"/>
    </w:rPr>
  </w:style>
  <w:style w:type="paragraph" w:customStyle="1" w:styleId="40">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41">
    <w:name w:val="cf01"/>
    <w:basedOn w:val="25"/>
    <w:qFormat/>
    <w:uiPriority w:val="0"/>
    <w:rPr>
      <w:rFonts w:hint="eastAsia" w:ascii="Microsoft YaHei UI" w:hAnsi="Microsoft YaHei UI" w:eastAsia="Microsoft YaHei UI"/>
      <w:sz w:val="18"/>
      <w:szCs w:val="18"/>
    </w:rPr>
  </w:style>
  <w:style w:type="character" w:customStyle="1" w:styleId="42">
    <w:name w:val="font01"/>
    <w:basedOn w:val="25"/>
    <w:qFormat/>
    <w:uiPriority w:val="0"/>
    <w:rPr>
      <w:rFonts w:hint="eastAsia" w:ascii="宋体" w:hAnsi="宋体" w:eastAsia="宋体" w:cs="宋体"/>
      <w:color w:val="000000"/>
      <w:sz w:val="24"/>
      <w:szCs w:val="24"/>
      <w:u w:val="none"/>
    </w:rPr>
  </w:style>
  <w:style w:type="character" w:customStyle="1" w:styleId="43">
    <w:name w:val="font11"/>
    <w:basedOn w:val="25"/>
    <w:qFormat/>
    <w:uiPriority w:val="0"/>
    <w:rPr>
      <w:rFonts w:hint="eastAsia" w:ascii="宋体" w:hAnsi="宋体" w:eastAsia="宋体" w:cs="宋体"/>
      <w:color w:val="000000"/>
      <w:sz w:val="24"/>
      <w:szCs w:val="24"/>
      <w:u w:val="none"/>
      <w:vertAlign w:val="superscript"/>
    </w:rPr>
  </w:style>
  <w:style w:type="character" w:customStyle="1" w:styleId="44">
    <w:name w:val="cf11"/>
    <w:basedOn w:val="25"/>
    <w:qFormat/>
    <w:uiPriority w:val="0"/>
    <w:rPr>
      <w:rFonts w:hint="eastAsia" w:ascii="Microsoft YaHei UI" w:hAnsi="Microsoft YaHei UI" w:eastAsia="Microsoft YaHei UI"/>
      <w:sz w:val="18"/>
      <w:szCs w:val="18"/>
    </w:rPr>
  </w:style>
  <w:style w:type="character" w:customStyle="1" w:styleId="45">
    <w:name w:val="列出段落 Char"/>
    <w:link w:val="46"/>
    <w:qFormat/>
    <w:uiPriority w:val="34"/>
    <w:rPr>
      <w:kern w:val="2"/>
      <w:sz w:val="21"/>
      <w:szCs w:val="24"/>
    </w:rPr>
  </w:style>
  <w:style w:type="paragraph" w:customStyle="1" w:styleId="46">
    <w:name w:val="_Style 27"/>
    <w:basedOn w:val="1"/>
    <w:next w:val="38"/>
    <w:link w:val="45"/>
    <w:qFormat/>
    <w:uiPriority w:val="34"/>
    <w:pPr>
      <w:spacing w:line="240" w:lineRule="auto"/>
      <w:ind w:firstLine="420" w:firstLineChars="200"/>
    </w:pPr>
  </w:style>
  <w:style w:type="character" w:customStyle="1" w:styleId="47">
    <w:name w:val="未处理的提及1"/>
    <w:basedOn w:val="25"/>
    <w:qFormat/>
    <w:uiPriority w:val="99"/>
    <w:rPr>
      <w:color w:val="605E5C"/>
      <w:shd w:val="clear" w:color="auto" w:fill="E1DFDD"/>
    </w:rPr>
  </w:style>
  <w:style w:type="paragraph" w:customStyle="1" w:styleId="48">
    <w:name w:val="列表段落1"/>
    <w:basedOn w:val="1"/>
    <w:qFormat/>
    <w:uiPriority w:val="0"/>
    <w:pPr>
      <w:spacing w:line="240" w:lineRule="auto"/>
      <w:ind w:firstLine="420" w:firstLineChars="200"/>
    </w:pPr>
    <w:rPr>
      <w:rFonts w:ascii="Calibri" w:hAnsi="Calibri"/>
    </w:rPr>
  </w:style>
  <w:style w:type="character" w:customStyle="1" w:styleId="49">
    <w:name w:val="列表段落 字符2"/>
    <w:qFormat/>
    <w:uiPriority w:val="99"/>
  </w:style>
  <w:style w:type="table" w:customStyle="1" w:styleId="50">
    <w:name w:val="网格型1"/>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_Style 36"/>
    <w:basedOn w:val="1"/>
    <w:next w:val="38"/>
    <w:qFormat/>
    <w:uiPriority w:val="34"/>
    <w:pPr>
      <w:spacing w:line="240" w:lineRule="auto"/>
      <w:ind w:firstLine="420" w:firstLineChars="200"/>
    </w:pPr>
  </w:style>
  <w:style w:type="character" w:customStyle="1" w:styleId="52">
    <w:name w:val="font61"/>
    <w:basedOn w:val="25"/>
    <w:qFormat/>
    <w:uiPriority w:val="0"/>
    <w:rPr>
      <w:rFonts w:hint="eastAsia" w:ascii="宋体" w:hAnsi="宋体" w:eastAsia="宋体" w:cs="宋体"/>
      <w:color w:val="000000"/>
      <w:sz w:val="20"/>
      <w:szCs w:val="20"/>
      <w:u w:val="none"/>
    </w:rPr>
  </w:style>
  <w:style w:type="character" w:customStyle="1" w:styleId="53">
    <w:name w:val="纯文本 Char1"/>
    <w:qFormat/>
    <w:uiPriority w:val="0"/>
    <w:rPr>
      <w:rFonts w:ascii="宋体" w:hAnsi="Courier New" w:eastAsia="宋体" w:cs="Courier New"/>
      <w:szCs w:val="21"/>
    </w:rPr>
  </w:style>
  <w:style w:type="paragraph" w:customStyle="1" w:styleId="54">
    <w:name w:val="_Style 41"/>
    <w:basedOn w:val="1"/>
    <w:next w:val="1"/>
    <w:qFormat/>
    <w:uiPriority w:val="34"/>
    <w:pPr>
      <w:spacing w:line="240" w:lineRule="auto"/>
      <w:ind w:firstLine="420" w:firstLineChars="200"/>
    </w:pPr>
    <w:rPr>
      <w:rFonts w:ascii="Calibri" w:hAnsi="Calibri" w:eastAsiaTheme="minorEastAsia" w:cstheme="minorBidi"/>
      <w:szCs w:val="22"/>
    </w:rPr>
  </w:style>
  <w:style w:type="paragraph" w:customStyle="1" w:styleId="55">
    <w:name w:val="列出段落11"/>
    <w:basedOn w:val="1"/>
    <w:qFormat/>
    <w:uiPriority w:val="34"/>
    <w:pPr>
      <w:widowControl/>
      <w:snapToGrid w:val="0"/>
      <w:spacing w:after="200" w:line="240" w:lineRule="auto"/>
      <w:ind w:firstLine="420" w:firstLineChars="200"/>
    </w:pPr>
    <w:rPr>
      <w:rFonts w:ascii="Tahoma" w:hAnsi="Tahoma" w:eastAsia="微软雅黑"/>
      <w:sz w:val="22"/>
      <w:szCs w:val="22"/>
    </w:rPr>
  </w:style>
  <w:style w:type="table" w:customStyle="1" w:styleId="56">
    <w:name w:val="网格型2"/>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网格型3"/>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34"/>
    <w:pPr>
      <w:ind w:firstLine="420" w:firstLineChars="200"/>
    </w:pPr>
  </w:style>
  <w:style w:type="character" w:customStyle="1" w:styleId="62">
    <w:name w:val="页脚 Char"/>
    <w:basedOn w:val="25"/>
    <w:link w:val="16"/>
    <w:qFormat/>
    <w:uiPriority w:val="0"/>
    <w:rPr>
      <w:rFonts w:ascii="Times New Roman" w:hAnsi="Times New Roman"/>
      <w:kern w:val="2"/>
      <w:sz w:val="18"/>
      <w:szCs w:val="18"/>
    </w:rPr>
  </w:style>
  <w:style w:type="paragraph" w:customStyle="1" w:styleId="63">
    <w:name w:val="Table Paragraph"/>
    <w:basedOn w:val="1"/>
    <w:qFormat/>
    <w:uiPriority w:val="1"/>
    <w:pPr>
      <w:spacing w:before="62"/>
      <w:ind w:right="91"/>
      <w:jc w:val="center"/>
    </w:pPr>
    <w:rPr>
      <w:rFonts w:ascii="宋体" w:hAnsi="宋体" w:eastAsia="宋体" w:cs="宋体"/>
      <w:lang w:val="zh-CN" w:eastAsia="zh-CN" w:bidi="zh-CN"/>
    </w:rPr>
  </w:style>
  <w:style w:type="paragraph" w:customStyle="1" w:styleId="64">
    <w:name w:val="正文_0"/>
    <w:qFormat/>
    <w:uiPriority w:val="0"/>
    <w:pPr>
      <w:spacing w:after="200" w:line="276" w:lineRule="auto"/>
    </w:pPr>
    <w:rPr>
      <w:rFonts w:ascii="Times New Roman" w:hAnsi="Times New Roman" w:eastAsia="宋体" w:cs="Times New Roman"/>
      <w:kern w:val="0"/>
      <w:sz w:val="21"/>
      <w:szCs w:val="20"/>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character" w:customStyle="1" w:styleId="67">
    <w:name w:val="NormalCharacter"/>
    <w:qFormat/>
    <w:uiPriority w:val="0"/>
  </w:style>
  <w:style w:type="paragraph" w:customStyle="1" w:styleId="68">
    <w:name w:val="UserStyle_0"/>
    <w:basedOn w:val="69"/>
    <w:qFormat/>
    <w:uiPriority w:val="0"/>
    <w:pPr>
      <w:spacing w:line="560" w:lineRule="exact"/>
      <w:ind w:firstLine="561"/>
      <w:jc w:val="both"/>
      <w:textAlignment w:val="baseline"/>
    </w:pPr>
    <w:rPr>
      <w:rFonts w:ascii="宋体" w:hAnsi="宋体" w:eastAsia="仿宋_GB2312"/>
      <w:kern w:val="16"/>
      <w:sz w:val="28"/>
      <w:szCs w:val="24"/>
      <w:lang w:val="en-US" w:eastAsia="zh-CN" w:bidi="ar-SA"/>
    </w:rPr>
  </w:style>
  <w:style w:type="paragraph" w:customStyle="1" w:styleId="69">
    <w:name w:val="UserStyle_1"/>
    <w:qFormat/>
    <w:uiPriority w:val="0"/>
    <w:pPr>
      <w:jc w:val="both"/>
      <w:textAlignment w:val="baseline"/>
    </w:pPr>
    <w:rPr>
      <w:rFonts w:ascii="宋体" w:hAnsi="宋体" w:eastAsia="宋体" w:cs="Times New Roman"/>
      <w:kern w:val="16"/>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四会监狱</Company>
  <Pages>29</Pages>
  <Words>2528</Words>
  <Characters>2713</Characters>
  <Lines>166</Lines>
  <Paragraphs>46</Paragraphs>
  <TotalTime>12</TotalTime>
  <ScaleCrop>false</ScaleCrop>
  <LinksUpToDate>false</LinksUpToDate>
  <CharactersWithSpaces>2717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2022-06-10T02:16:00Z</dcterms:created>
  <dc:creator>罗金城</dc:creator>
  <cp:lastModifiedBy>lenovo</cp:lastModifiedBy>
  <cp:lastPrinted>2024-07-03T07:14:00Z</cp:lastPrinted>
  <dcterms:modified xsi:type="dcterms:W3CDTF">2025-01-14T01:56:28Z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033573A6291D4A6CB9D616D7970536BC_13</vt:lpwstr>
  </property>
  <property fmtid="{D5CDD505-2E9C-101B-9397-08002B2CF9AE}" pid="4" name="KSOTemplateDocerSaveRecord">
    <vt:lpwstr>eyJoZGlkIjoiMWJkMDg1ZGFmYmViMGMzNDMzYTVjMThhMzY1ZjAzYmEiLCJ1c2VySWQiOiIyMjY5NDQ5MTAifQ==</vt:lpwstr>
  </property>
</Properties>
</file>