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68862">
      <w:pPr>
        <w:pStyle w:val="6"/>
        <w:numPr>
          <w:numId w:val="0"/>
        </w:numPr>
        <w:spacing w:before="0" w:after="0"/>
        <w:jc w:val="center"/>
        <w:rPr>
          <w:color w:val="auto"/>
          <w:highlight w:val="none"/>
        </w:rPr>
      </w:pPr>
      <w:r>
        <w:rPr>
          <w:rFonts w:hint="eastAsia"/>
          <w:color w:val="auto"/>
          <w:highlight w:val="none"/>
        </w:rPr>
        <w:t>竞价</w:t>
      </w:r>
      <w:r>
        <w:rPr>
          <w:rFonts w:hint="eastAsia"/>
          <w:color w:val="auto"/>
          <w:highlight w:val="none"/>
          <w:lang w:val="en-US" w:eastAsia="zh-CN"/>
        </w:rPr>
        <w:t>公告</w:t>
      </w:r>
    </w:p>
    <w:p w14:paraId="0D3BE478">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广东省未成年犯管教所南、北门防冲撞液压式自动升降柱采购项目</w:t>
      </w:r>
      <w:r>
        <w:rPr>
          <w:rFonts w:hint="eastAsia"/>
          <w:color w:val="auto"/>
          <w:highlight w:val="none"/>
        </w:rPr>
        <w:t>进行竞价采购。欢迎符</w:t>
      </w:r>
      <w:bookmarkStart w:id="0" w:name="_GoBack"/>
      <w:bookmarkEnd w:id="0"/>
      <w:r>
        <w:rPr>
          <w:rFonts w:hint="eastAsia"/>
          <w:color w:val="auto"/>
          <w:highlight w:val="none"/>
        </w:rPr>
        <w:t>合资格条件的供应商参加。该项目相关情况如下：</w:t>
      </w:r>
    </w:p>
    <w:p w14:paraId="3FF16818">
      <w:pPr>
        <w:numPr>
          <w:ilvl w:val="0"/>
          <w:numId w:val="1"/>
        </w:numPr>
        <w:spacing w:line="360" w:lineRule="auto"/>
        <w:rPr>
          <w:b/>
          <w:bCs/>
          <w:color w:val="auto"/>
          <w:highlight w:val="none"/>
        </w:rPr>
      </w:pPr>
      <w:r>
        <w:rPr>
          <w:rFonts w:hint="eastAsia"/>
          <w:b/>
          <w:bCs/>
          <w:color w:val="auto"/>
          <w:highlight w:val="none"/>
        </w:rPr>
        <w:t> 项目概况：</w:t>
      </w:r>
    </w:p>
    <w:p w14:paraId="619CE940">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采购项目编号：M4400000707525568007</w:t>
      </w:r>
    </w:p>
    <w:p w14:paraId="79E7FA90">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项目名称：</w:t>
      </w:r>
      <w:r>
        <w:rPr>
          <w:rFonts w:hint="eastAsia"/>
          <w:color w:val="auto"/>
          <w:highlight w:val="none"/>
          <w:lang w:eastAsia="zh-CN"/>
        </w:rPr>
        <w:t>广东省未成年犯管教所南、北门防冲撞液压式自动升降柱采购项目</w:t>
      </w:r>
    </w:p>
    <w:p w14:paraId="35292D71">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3．</w:t>
      </w:r>
      <w:r>
        <w:rPr>
          <w:rFonts w:hint="eastAsia"/>
          <w:color w:val="auto"/>
          <w:highlight w:val="none"/>
          <w:lang w:val="en-US" w:eastAsia="zh-CN"/>
        </w:rPr>
        <w:t>包组划分：本项目共1个包组</w:t>
      </w:r>
    </w:p>
    <w:p w14:paraId="52B5E07D">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4．</w:t>
      </w: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防冲撞液压式自动升降柱的配送并安装到位（详见</w:t>
      </w:r>
      <w:r>
        <w:rPr>
          <w:rFonts w:hint="eastAsia"/>
          <w:color w:val="auto"/>
          <w:highlight w:val="none"/>
        </w:rPr>
        <w:t>竞价文件第三部分“用户需求书”</w:t>
      </w:r>
      <w:r>
        <w:rPr>
          <w:rFonts w:hint="eastAsia" w:ascii="宋体" w:hAnsi="宋体" w:cs="宋体"/>
          <w:b w:val="0"/>
          <w:bCs/>
          <w:color w:val="auto"/>
          <w:sz w:val="21"/>
          <w:szCs w:val="21"/>
          <w:highlight w:val="none"/>
          <w:lang w:val="en-US" w:eastAsia="zh-CN"/>
        </w:rPr>
        <w:t>）的道具准备、场地布置、工作人员配备,具体道具、设施及人员配备等</w:t>
      </w:r>
      <w:r>
        <w:rPr>
          <w:rFonts w:hint="eastAsia"/>
          <w:color w:val="auto"/>
          <w:highlight w:val="none"/>
        </w:rPr>
        <w:t>。</w:t>
      </w:r>
    </w:p>
    <w:tbl>
      <w:tblPr>
        <w:tblStyle w:val="8"/>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56"/>
        <w:gridCol w:w="723"/>
        <w:gridCol w:w="2544"/>
        <w:gridCol w:w="2059"/>
      </w:tblGrid>
      <w:tr w14:paraId="652E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dxa"/>
            <w:shd w:val="clear" w:color="auto" w:fill="EEECE1"/>
            <w:vAlign w:val="center"/>
          </w:tcPr>
          <w:p w14:paraId="6B53854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2456" w:type="dxa"/>
            <w:shd w:val="clear" w:color="auto" w:fill="EEECE1"/>
            <w:vAlign w:val="center"/>
          </w:tcPr>
          <w:p w14:paraId="0435781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采购内容</w:t>
            </w:r>
          </w:p>
        </w:tc>
        <w:tc>
          <w:tcPr>
            <w:tcW w:w="723" w:type="dxa"/>
            <w:shd w:val="clear" w:color="auto" w:fill="EEECE1"/>
            <w:vAlign w:val="center"/>
          </w:tcPr>
          <w:p w14:paraId="35B2BD13">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2544" w:type="dxa"/>
            <w:shd w:val="clear" w:color="auto" w:fill="EEECE1"/>
            <w:vAlign w:val="center"/>
          </w:tcPr>
          <w:p w14:paraId="46A7DCD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bidi="ar"/>
              </w:rPr>
              <w:t>技术规格、参数及要求</w:t>
            </w:r>
          </w:p>
        </w:tc>
        <w:tc>
          <w:tcPr>
            <w:tcW w:w="2059" w:type="dxa"/>
            <w:shd w:val="clear" w:color="auto" w:fill="EEECE1"/>
            <w:vAlign w:val="center"/>
          </w:tcPr>
          <w:p w14:paraId="578E617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7FBF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66" w:type="dxa"/>
            <w:vAlign w:val="center"/>
          </w:tcPr>
          <w:p w14:paraId="16FCEC7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56" w:type="dxa"/>
            <w:vAlign w:val="center"/>
          </w:tcPr>
          <w:p w14:paraId="2BB1B09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广东省未成年犯管教所南门防冲撞液压式自动升降柱</w:t>
            </w:r>
          </w:p>
        </w:tc>
        <w:tc>
          <w:tcPr>
            <w:tcW w:w="723" w:type="dxa"/>
            <w:vAlign w:val="center"/>
          </w:tcPr>
          <w:p w14:paraId="5EB2990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5根</w:t>
            </w:r>
          </w:p>
        </w:tc>
        <w:tc>
          <w:tcPr>
            <w:tcW w:w="2544" w:type="dxa"/>
            <w:vAlign w:val="center"/>
          </w:tcPr>
          <w:p w14:paraId="230729B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bidi="ar"/>
              </w:rPr>
              <w:t>详见</w:t>
            </w:r>
            <w:r>
              <w:rPr>
                <w:rFonts w:hint="eastAsia"/>
                <w:color w:val="auto"/>
                <w:highlight w:val="none"/>
              </w:rPr>
              <w:t>用户需求书</w:t>
            </w:r>
            <w:r>
              <w:rPr>
                <w:rFonts w:hint="eastAsia" w:ascii="宋体" w:hAnsi="宋体" w:eastAsia="宋体" w:cs="宋体"/>
                <w:sz w:val="21"/>
                <w:szCs w:val="21"/>
                <w:highlight w:val="none"/>
                <w:lang w:val="en-US" w:eastAsia="zh-CN" w:bidi="ar"/>
              </w:rPr>
              <w:t>“技术要求”</w:t>
            </w:r>
          </w:p>
        </w:tc>
        <w:tc>
          <w:tcPr>
            <w:tcW w:w="2059" w:type="dxa"/>
            <w:vAlign w:val="center"/>
          </w:tcPr>
          <w:p w14:paraId="6A0950C7">
            <w:pPr>
              <w:pStyle w:val="7"/>
              <w:keepNext w:val="0"/>
              <w:keepLines w:val="0"/>
              <w:pageBreakBefore w:val="0"/>
              <w:kinsoku/>
              <w:wordWrap/>
              <w:overflowPunct/>
              <w:topLinePunct w:val="0"/>
              <w:autoSpaceDE/>
              <w:autoSpaceDN/>
              <w:bidi w:val="0"/>
              <w:adjustRightInd/>
              <w:snapToGrid/>
              <w:spacing w:after="0" w:line="360" w:lineRule="exact"/>
              <w:ind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lang w:val="en-US" w:eastAsia="zh-CN"/>
              </w:rPr>
              <w:drawing>
                <wp:anchor distT="0" distB="0" distL="114300" distR="114300" simplePos="0" relativeHeight="251659264" behindDoc="1" locked="0" layoutInCell="1" allowOverlap="1">
                  <wp:simplePos x="0" y="0"/>
                  <wp:positionH relativeFrom="column">
                    <wp:posOffset>-19050</wp:posOffset>
                  </wp:positionH>
                  <wp:positionV relativeFrom="paragraph">
                    <wp:posOffset>-64770</wp:posOffset>
                  </wp:positionV>
                  <wp:extent cx="1193165" cy="771525"/>
                  <wp:effectExtent l="0" t="0" r="6985" b="9525"/>
                  <wp:wrapNone/>
                  <wp:docPr id="13" name="图片 13" descr="90b02642fed58730399193fa82ce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0b02642fed58730399193fa82ce3b2"/>
                          <pic:cNvPicPr>
                            <a:picLocks noChangeAspect="1"/>
                          </pic:cNvPicPr>
                        </pic:nvPicPr>
                        <pic:blipFill>
                          <a:blip r:embed="rId6"/>
                          <a:stretch>
                            <a:fillRect/>
                          </a:stretch>
                        </pic:blipFill>
                        <pic:spPr>
                          <a:xfrm>
                            <a:off x="0" y="0"/>
                            <a:ext cx="1193165" cy="771525"/>
                          </a:xfrm>
                          <a:prstGeom prst="rect">
                            <a:avLst/>
                          </a:prstGeom>
                        </pic:spPr>
                      </pic:pic>
                    </a:graphicData>
                  </a:graphic>
                </wp:anchor>
              </w:drawing>
            </w:r>
          </w:p>
        </w:tc>
      </w:tr>
      <w:tr w14:paraId="0B2B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666" w:type="dxa"/>
            <w:vAlign w:val="center"/>
          </w:tcPr>
          <w:p w14:paraId="19B6399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p>
        </w:tc>
        <w:tc>
          <w:tcPr>
            <w:tcW w:w="2456" w:type="dxa"/>
            <w:vAlign w:val="center"/>
          </w:tcPr>
          <w:p w14:paraId="78AC4DB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广东省未成年犯管教所北门防冲撞液压式自动升降柱</w:t>
            </w:r>
          </w:p>
        </w:tc>
        <w:tc>
          <w:tcPr>
            <w:tcW w:w="723" w:type="dxa"/>
            <w:vAlign w:val="center"/>
          </w:tcPr>
          <w:p w14:paraId="7A9801C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5根</w:t>
            </w:r>
          </w:p>
        </w:tc>
        <w:tc>
          <w:tcPr>
            <w:tcW w:w="2544" w:type="dxa"/>
            <w:vAlign w:val="center"/>
          </w:tcPr>
          <w:p w14:paraId="59BBD1E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详见</w:t>
            </w:r>
            <w:r>
              <w:rPr>
                <w:rFonts w:hint="eastAsia"/>
                <w:color w:val="auto"/>
                <w:highlight w:val="none"/>
              </w:rPr>
              <w:t>用户需求书</w:t>
            </w:r>
            <w:r>
              <w:rPr>
                <w:rFonts w:hint="eastAsia" w:ascii="宋体" w:hAnsi="宋体" w:eastAsia="宋体" w:cs="宋体"/>
                <w:sz w:val="21"/>
                <w:szCs w:val="21"/>
                <w:highlight w:val="none"/>
                <w:lang w:val="en-US" w:eastAsia="zh-CN" w:bidi="ar"/>
              </w:rPr>
              <w:t>“技术要求”</w:t>
            </w:r>
          </w:p>
        </w:tc>
        <w:tc>
          <w:tcPr>
            <w:tcW w:w="2059" w:type="dxa"/>
            <w:vAlign w:val="center"/>
          </w:tcPr>
          <w:p w14:paraId="784153CE">
            <w:pPr>
              <w:pStyle w:val="7"/>
              <w:keepNext w:val="0"/>
              <w:keepLines w:val="0"/>
              <w:pageBreakBefore w:val="0"/>
              <w:kinsoku/>
              <w:wordWrap/>
              <w:overflowPunct/>
              <w:topLinePunct w:val="0"/>
              <w:autoSpaceDE/>
              <w:autoSpaceDN/>
              <w:bidi w:val="0"/>
              <w:adjustRightInd/>
              <w:snapToGrid/>
              <w:spacing w:after="0" w:line="360" w:lineRule="exact"/>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lang w:val="en-US" w:eastAsia="zh-CN"/>
              </w:rPr>
              <w:drawing>
                <wp:anchor distT="0" distB="0" distL="114300" distR="114300" simplePos="0" relativeHeight="251659264" behindDoc="1" locked="0" layoutInCell="1" allowOverlap="1">
                  <wp:simplePos x="0" y="0"/>
                  <wp:positionH relativeFrom="column">
                    <wp:posOffset>-19050</wp:posOffset>
                  </wp:positionH>
                  <wp:positionV relativeFrom="paragraph">
                    <wp:posOffset>33655</wp:posOffset>
                  </wp:positionV>
                  <wp:extent cx="1207135" cy="780415"/>
                  <wp:effectExtent l="0" t="0" r="12065" b="635"/>
                  <wp:wrapNone/>
                  <wp:docPr id="14" name="图片 14" descr="bca184996e84efc61b8f12616eec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ca184996e84efc61b8f12616eec994"/>
                          <pic:cNvPicPr>
                            <a:picLocks noChangeAspect="1"/>
                          </pic:cNvPicPr>
                        </pic:nvPicPr>
                        <pic:blipFill>
                          <a:blip r:embed="rId7"/>
                          <a:stretch>
                            <a:fillRect/>
                          </a:stretch>
                        </pic:blipFill>
                        <pic:spPr>
                          <a:xfrm>
                            <a:off x="0" y="0"/>
                            <a:ext cx="1207135" cy="780415"/>
                          </a:xfrm>
                          <a:prstGeom prst="rect">
                            <a:avLst/>
                          </a:prstGeom>
                        </pic:spPr>
                      </pic:pic>
                    </a:graphicData>
                  </a:graphic>
                </wp:anchor>
              </w:drawing>
            </w:r>
          </w:p>
        </w:tc>
      </w:tr>
    </w:tbl>
    <w:p w14:paraId="676184A4">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5．</w:t>
      </w:r>
      <w:r>
        <w:rPr>
          <w:rFonts w:hint="eastAsia"/>
          <w:color w:val="auto"/>
          <w:highlight w:val="none"/>
        </w:rPr>
        <w:t>采购品目:</w:t>
      </w:r>
      <w:r>
        <w:rPr>
          <w:rFonts w:hint="eastAsia"/>
          <w:color w:val="auto"/>
          <w:highlight w:val="none"/>
          <w:lang w:val="en-US" w:eastAsia="zh-CN"/>
        </w:rPr>
        <w:t>货物</w:t>
      </w:r>
    </w:p>
    <w:p w14:paraId="400161AB">
      <w:pPr>
        <w:numPr>
          <w:ilvl w:val="0"/>
          <w:numId w:val="0"/>
        </w:numPr>
        <w:spacing w:line="360" w:lineRule="auto"/>
        <w:ind w:left="0" w:leftChars="0" w:firstLine="420" w:firstLineChars="200"/>
        <w:rPr>
          <w:highlight w:val="none"/>
        </w:rPr>
      </w:pPr>
      <w:r>
        <w:rPr>
          <w:rFonts w:hint="default" w:ascii="Times New Roman" w:hAnsi="Times New Roman" w:eastAsia="宋体" w:cs="Times New Roman"/>
          <w:kern w:val="2"/>
          <w:sz w:val="21"/>
          <w:szCs w:val="24"/>
          <w:highlight w:val="none"/>
          <w:lang w:val="en-US" w:eastAsia="zh-CN" w:bidi="ar-SA"/>
        </w:rPr>
        <w:t>6．</w:t>
      </w:r>
      <w:r>
        <w:rPr>
          <w:rFonts w:hint="eastAsia"/>
          <w:color w:val="auto"/>
          <w:highlight w:val="none"/>
          <w:lang w:val="en-US" w:eastAsia="zh-CN"/>
        </w:rPr>
        <w:t>项目预算：137930元</w:t>
      </w:r>
    </w:p>
    <w:p w14:paraId="6406D137">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7.最高限价：137930元</w:t>
      </w:r>
    </w:p>
    <w:p w14:paraId="2D77C9C1">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注：（1）报价超出预算金额的列为无效报价处理。</w:t>
      </w:r>
    </w:p>
    <w:p w14:paraId="1BA1DF7A">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（2）供应商必须对本项目的全部内容进行报价，如有缺漏，将导致报价无效。</w:t>
      </w:r>
    </w:p>
    <w:p w14:paraId="2E9865A0">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（3）报价应为人民币含税全包价，包括升降柱及相关配套设备费、安装调试费、土建费、人工费、税金、验收和履约过程可预见或不可预见的一切费用。</w:t>
      </w:r>
    </w:p>
    <w:p w14:paraId="506CEEC1">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（4）本项目为一个整体，供应商须对全部内容进行报价，不得分拆报价。</w:t>
      </w:r>
    </w:p>
    <w:p w14:paraId="675C5CB6">
      <w:pPr>
        <w:numPr>
          <w:ilvl w:val="0"/>
          <w:numId w:val="0"/>
        </w:numPr>
        <w:spacing w:line="360" w:lineRule="auto"/>
        <w:ind w:left="0" w:leftChars="0" w:firstLine="420" w:firstLineChars="200"/>
        <w:rPr>
          <w:rFonts w:hint="default"/>
          <w:highlight w:val="none"/>
          <w:lang w:val="en-US"/>
        </w:rPr>
      </w:pPr>
      <w:r>
        <w:rPr>
          <w:rFonts w:hint="eastAsia"/>
          <w:color w:val="auto"/>
          <w:highlight w:val="none"/>
          <w:lang w:val="en-US" w:eastAsia="zh-CN"/>
        </w:rPr>
        <w:t>8.项目实施地点：广州市白云区石潭路376号</w:t>
      </w:r>
    </w:p>
    <w:p w14:paraId="6C15C92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lang w:val="en-US" w:eastAsia="zh-CN"/>
        </w:rPr>
        <w:t>9.周期内容</w:t>
      </w:r>
      <w:r>
        <w:rPr>
          <w:rFonts w:hint="eastAsia"/>
          <w:color w:val="auto"/>
          <w:highlight w:val="none"/>
        </w:rPr>
        <w:t>：自合同签订之日起十五个工作日内完成</w:t>
      </w:r>
      <w:r>
        <w:rPr>
          <w:rFonts w:hint="eastAsia"/>
          <w:color w:val="auto"/>
          <w:highlight w:val="none"/>
          <w:lang w:eastAsia="zh-CN"/>
        </w:rPr>
        <w:t>。</w:t>
      </w:r>
    </w:p>
    <w:p w14:paraId="1BBEB2D7">
      <w:pPr>
        <w:numPr>
          <w:ilvl w:val="0"/>
          <w:numId w:val="1"/>
        </w:numPr>
        <w:spacing w:line="360" w:lineRule="auto"/>
        <w:rPr>
          <w:b/>
          <w:bCs/>
          <w:color w:val="auto"/>
          <w:highlight w:val="none"/>
        </w:rPr>
      </w:pPr>
      <w:r>
        <w:rPr>
          <w:rFonts w:hint="eastAsia"/>
          <w:b/>
          <w:bCs/>
          <w:color w:val="auto"/>
          <w:highlight w:val="none"/>
        </w:rPr>
        <w:t>供应商资格要求：</w:t>
      </w:r>
    </w:p>
    <w:p w14:paraId="622FE11B">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14:paraId="086380E2">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．在中</w:t>
      </w:r>
      <w:r>
        <w:rPr>
          <w:rFonts w:hint="eastAsia" w:cs="Times New Roman"/>
          <w:color w:val="auto"/>
          <w:kern w:val="2"/>
          <w:sz w:val="21"/>
          <w:szCs w:val="24"/>
          <w:highlight w:val="none"/>
          <w:lang w:val="en-US" w:eastAsia="zh-CN" w:bidi="ar-SA"/>
        </w:rPr>
        <w:t>华</w:t>
      </w:r>
      <w:r>
        <w:rPr>
          <w:rFonts w:hint="default" w:ascii="Times New Roman" w:hAnsi="Times New Roman" w:eastAsia="宋体" w:cs="Times New Roman"/>
          <w:color w:val="auto"/>
          <w:kern w:val="2"/>
          <w:sz w:val="21"/>
          <w:szCs w:val="24"/>
          <w:highlight w:val="none"/>
          <w:lang w:val="en-US" w:eastAsia="zh-CN" w:bidi="ar-SA"/>
        </w:rPr>
        <w:t>人民共和国境内注册成立的企业</w:t>
      </w:r>
      <w:r>
        <w:rPr>
          <w:rFonts w:hint="eastAsia" w:cs="Times New Roman"/>
          <w:color w:val="auto"/>
          <w:kern w:val="2"/>
          <w:sz w:val="21"/>
          <w:szCs w:val="24"/>
          <w:highlight w:val="none"/>
          <w:lang w:val="en-US" w:eastAsia="zh-CN" w:bidi="ar-SA"/>
        </w:rPr>
        <w:t>，具有独立承担民事责任的能力，</w:t>
      </w:r>
      <w:r>
        <w:rPr>
          <w:rFonts w:hint="eastAsia" w:ascii="Times New Roman" w:hAnsi="Times New Roman" w:cs="Times New Roman"/>
          <w:color w:val="auto"/>
          <w:highlight w:val="none"/>
        </w:rPr>
        <w:t>具有独立法人资格，提供法人或其他组织的营业执照等证明材料。</w:t>
      </w:r>
    </w:p>
    <w:p w14:paraId="25B1AAEA">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具有良好的商业信誉和健全的财务会计制度</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33809B8E">
      <w:pPr>
        <w:numPr>
          <w:ilvl w:val="0"/>
          <w:numId w:val="0"/>
        </w:numPr>
        <w:spacing w:line="360" w:lineRule="auto"/>
        <w:ind w:left="0" w:leftChars="0" w:firstLine="400" w:firstLineChars="0"/>
        <w:rPr>
          <w:rFonts w:hint="eastAsia" w:cs="Times New Roman"/>
          <w:color w:val="auto"/>
          <w:highlight w:val="none"/>
          <w:lang w:val="en-US" w:eastAsia="zh-CN"/>
        </w:rPr>
      </w:pPr>
      <w:r>
        <w:rPr>
          <w:rFonts w:hint="eastAsia" w:cs="Times New Roman"/>
          <w:color w:val="auto"/>
          <w:highlight w:val="none"/>
          <w:lang w:val="en-US" w:eastAsia="zh-CN"/>
        </w:rPr>
        <w:t>4.具有履行合同所必需的设备和专业技术能力</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61588110">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5.</w:t>
      </w:r>
      <w:r>
        <w:rPr>
          <w:rFonts w:hint="eastAsia" w:ascii="Times New Roman" w:hAnsi="Times New Roman" w:cs="Times New Roman"/>
          <w:color w:val="auto"/>
          <w:highlight w:val="none"/>
        </w:rPr>
        <w:t>有依法缴纳税收和社会保障资金的良好记录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01E23DA9">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参加采购活动前三年内没有重大违法记录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6C5D8FDE">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法律、行政法规规定的其他条件。</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4E175DC1">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14:paraId="4D1AFFFE">
      <w:pPr>
        <w:numPr>
          <w:ilvl w:val="0"/>
          <w:numId w:val="1"/>
        </w:numPr>
        <w:spacing w:line="360" w:lineRule="auto"/>
        <w:rPr>
          <w:b/>
          <w:bCs/>
          <w:color w:val="auto"/>
          <w:highlight w:val="none"/>
        </w:rPr>
      </w:pPr>
      <w:r>
        <w:rPr>
          <w:rFonts w:hint="eastAsia"/>
          <w:b/>
          <w:bCs/>
          <w:color w:val="auto"/>
          <w:highlight w:val="none"/>
        </w:rPr>
        <w:t>电子竞价文件的获取</w:t>
      </w:r>
    </w:p>
    <w:p w14:paraId="534E8BE8">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14:paraId="2F0633A6">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日至</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17</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14:paraId="633C7F81">
      <w:pPr>
        <w:numPr>
          <w:ilvl w:val="0"/>
          <w:numId w:val="1"/>
        </w:numPr>
        <w:spacing w:line="360" w:lineRule="auto"/>
        <w:rPr>
          <w:b/>
          <w:bCs/>
          <w:color w:val="auto"/>
          <w:highlight w:val="none"/>
        </w:rPr>
      </w:pPr>
      <w:r>
        <w:rPr>
          <w:rFonts w:hint="eastAsia"/>
          <w:b/>
          <w:bCs/>
          <w:color w:val="auto"/>
          <w:highlight w:val="none"/>
        </w:rPr>
        <w:t>电子竞价时间和方式</w:t>
      </w:r>
    </w:p>
    <w:p w14:paraId="73573172">
      <w:pPr>
        <w:numPr>
          <w:ilvl w:val="0"/>
          <w:numId w:val="2"/>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14:paraId="318DD5B0">
      <w:pPr>
        <w:numPr>
          <w:ilvl w:val="0"/>
          <w:numId w:val="2"/>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033A240B">
      <w:pPr>
        <w:numPr>
          <w:ilvl w:val="0"/>
          <w:numId w:val="2"/>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006EB760">
      <w:pPr>
        <w:numPr>
          <w:ilvl w:val="0"/>
          <w:numId w:val="2"/>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14:paraId="0294DC37">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14:paraId="094EDDD1">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14:paraId="20E283ED">
      <w:pPr>
        <w:numPr>
          <w:ilvl w:val="0"/>
          <w:numId w:val="3"/>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在中</w:t>
      </w:r>
      <w:r>
        <w:rPr>
          <w:rFonts w:hint="eastAsia" w:cs="Times New Roman"/>
          <w:color w:val="auto"/>
          <w:highlight w:val="none"/>
          <w:lang w:val="en-US" w:eastAsia="zh-CN"/>
        </w:rPr>
        <w:t>华</w:t>
      </w:r>
      <w:r>
        <w:rPr>
          <w:rFonts w:hint="eastAsia" w:ascii="Times New Roman" w:hAnsi="Times New Roman" w:cs="Times New Roman"/>
          <w:color w:val="auto"/>
          <w:highlight w:val="none"/>
        </w:rPr>
        <w:t>人民共和国境内注册成立的企业，具有独立承担民事责任的能力，具有独立法人资格，提供法人或其他组织的营业执照等证明材料。</w:t>
      </w:r>
    </w:p>
    <w:p w14:paraId="59659E68">
      <w:pPr>
        <w:numPr>
          <w:ilvl w:val="0"/>
          <w:numId w:val="3"/>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14:paraId="67A33CBA">
      <w:pPr>
        <w:numPr>
          <w:ilvl w:val="0"/>
          <w:numId w:val="3"/>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14:paraId="17D6BD29">
      <w:pPr>
        <w:numPr>
          <w:ilvl w:val="0"/>
          <w:numId w:val="3"/>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14:paraId="12159B5A">
      <w:pPr>
        <w:numPr>
          <w:ilvl w:val="0"/>
          <w:numId w:val="3"/>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14:paraId="32CABC99">
      <w:pPr>
        <w:numPr>
          <w:ilvl w:val="0"/>
          <w:numId w:val="2"/>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14:paraId="4899439B">
      <w:pPr>
        <w:numPr>
          <w:ilvl w:val="0"/>
          <w:numId w:val="2"/>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14:paraId="6FFE9EB9">
      <w:pPr>
        <w:numPr>
          <w:ilvl w:val="0"/>
          <w:numId w:val="2"/>
        </w:numPr>
        <w:spacing w:line="360" w:lineRule="auto"/>
        <w:ind w:left="0" w:leftChars="0" w:firstLine="400" w:firstLineChars="0"/>
        <w:rPr>
          <w:highlight w:val="none"/>
        </w:rPr>
      </w:pPr>
      <w:r>
        <w:rPr>
          <w:rFonts w:hint="eastAsia"/>
          <w:highlight w:val="none"/>
        </w:rPr>
        <w:t>报价限制</w:t>
      </w:r>
      <w:r>
        <w:rPr>
          <w:rFonts w:hint="eastAsia"/>
          <w:highlight w:val="none"/>
          <w:lang w:eastAsia="zh-CN"/>
        </w:rPr>
        <w:t>：</w:t>
      </w:r>
      <w:r>
        <w:rPr>
          <w:rFonts w:hint="eastAsia"/>
          <w:highlight w:val="none"/>
          <w:lang w:val="en-US" w:eastAsia="zh-CN"/>
        </w:rPr>
        <w:t>低于自己的前一次报价</w:t>
      </w:r>
      <w:r>
        <w:rPr>
          <w:rFonts w:hint="eastAsia"/>
          <w:highlight w:val="none"/>
          <w:lang w:eastAsia="zh-CN"/>
        </w:rPr>
        <w:t>。</w:t>
      </w:r>
    </w:p>
    <w:p w14:paraId="49382824">
      <w:pPr>
        <w:numPr>
          <w:ilvl w:val="0"/>
          <w:numId w:val="2"/>
        </w:numPr>
        <w:spacing w:line="360" w:lineRule="auto"/>
        <w:ind w:left="0" w:leftChars="0" w:firstLine="400" w:firstLineChars="0"/>
        <w:rPr>
          <w:highlight w:val="none"/>
        </w:rPr>
      </w:pPr>
      <w:r>
        <w:rPr>
          <w:rFonts w:hint="eastAsia"/>
          <w:highlight w:val="none"/>
        </w:rPr>
        <w:t>是否显示最</w:t>
      </w:r>
      <w:r>
        <w:rPr>
          <w:rFonts w:hint="eastAsia"/>
          <w:highlight w:val="none"/>
          <w:lang w:val="en-US" w:eastAsia="zh-CN"/>
        </w:rPr>
        <w:t>低</w:t>
      </w:r>
      <w:r>
        <w:rPr>
          <w:rFonts w:hint="eastAsia"/>
          <w:highlight w:val="none"/>
        </w:rPr>
        <w:t>价</w:t>
      </w:r>
      <w:r>
        <w:rPr>
          <w:rFonts w:hint="eastAsia"/>
          <w:highlight w:val="none"/>
          <w:lang w:eastAsia="zh-CN"/>
        </w:rPr>
        <w:t>：供应商</w:t>
      </w:r>
      <w:r>
        <w:rPr>
          <w:rFonts w:hint="eastAsia"/>
          <w:highlight w:val="none"/>
          <w:lang w:val="en-US" w:eastAsia="zh-CN"/>
        </w:rPr>
        <w:t>不</w:t>
      </w:r>
      <w:r>
        <w:rPr>
          <w:rFonts w:hint="eastAsia"/>
          <w:highlight w:val="none"/>
          <w:lang w:eastAsia="zh-CN"/>
        </w:rPr>
        <w:t>可查看最</w:t>
      </w:r>
      <w:r>
        <w:rPr>
          <w:rFonts w:hint="eastAsia"/>
          <w:highlight w:val="none"/>
          <w:lang w:val="en-US" w:eastAsia="zh-CN"/>
        </w:rPr>
        <w:t>低</w:t>
      </w:r>
      <w:r>
        <w:rPr>
          <w:rFonts w:hint="eastAsia"/>
          <w:highlight w:val="none"/>
          <w:lang w:eastAsia="zh-CN"/>
        </w:rPr>
        <w:t>报价。</w:t>
      </w:r>
    </w:p>
    <w:p w14:paraId="68B55C90">
      <w:pPr>
        <w:numPr>
          <w:ilvl w:val="0"/>
          <w:numId w:val="2"/>
        </w:numPr>
        <w:spacing w:line="360" w:lineRule="auto"/>
        <w:ind w:left="0" w:leftChars="0" w:firstLine="400" w:firstLineChars="0"/>
        <w:rPr>
          <w:highlight w:val="none"/>
        </w:rPr>
      </w:pPr>
      <w:r>
        <w:rPr>
          <w:rFonts w:hint="eastAsia"/>
          <w:b/>
          <w:bCs/>
          <w:highlight w:val="none"/>
        </w:rPr>
        <w:t>注意:请使用Google Chrome浏览器! 如使用其他浏览器可能会导致无法实时接收最新的报价数据，由此产生的后果请自行承担</w:t>
      </w:r>
      <w:r>
        <w:rPr>
          <w:rFonts w:hint="eastAsia"/>
          <w:b/>
          <w:bCs/>
          <w:highlight w:val="none"/>
          <w:lang w:eastAsia="zh-CN"/>
        </w:rPr>
        <w:t>。</w:t>
      </w:r>
    </w:p>
    <w:p w14:paraId="654EEF0F">
      <w:pPr>
        <w:numPr>
          <w:ilvl w:val="0"/>
          <w:numId w:val="2"/>
        </w:numPr>
        <w:spacing w:line="360" w:lineRule="auto"/>
        <w:ind w:left="0" w:leftChars="0" w:firstLine="400" w:firstLineChars="0"/>
        <w:rPr>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14:paraId="257D28B5">
      <w:pPr>
        <w:numPr>
          <w:ilvl w:val="0"/>
          <w:numId w:val="2"/>
        </w:numPr>
        <w:spacing w:line="360" w:lineRule="auto"/>
        <w:ind w:left="0" w:leftChars="0" w:firstLine="400" w:firstLineChars="0"/>
        <w:rPr>
          <w:highlight w:val="none"/>
        </w:rPr>
      </w:pPr>
      <w:r>
        <w:rPr>
          <w:rFonts w:hint="eastAsia"/>
          <w:highlight w:val="none"/>
        </w:rPr>
        <w:t>各竞价人要在竞价结束后2个工作日内提交</w:t>
      </w:r>
      <w:r>
        <w:rPr>
          <w:rFonts w:hint="eastAsia"/>
          <w:highlight w:val="none"/>
          <w:lang w:val="en-US" w:eastAsia="zh-CN"/>
        </w:rPr>
        <w:t>与上传系统的电子报价文件一致的</w:t>
      </w:r>
      <w:r>
        <w:rPr>
          <w:rFonts w:hint="eastAsia"/>
          <w:highlight w:val="none"/>
        </w:rPr>
        <w:t>全部纸质版报价文件</w:t>
      </w:r>
      <w:r>
        <w:rPr>
          <w:rFonts w:hint="eastAsia"/>
          <w:highlight w:val="none"/>
          <w:lang w:val="en-US" w:eastAsia="zh-CN"/>
        </w:rPr>
        <w:t>一份</w:t>
      </w:r>
      <w:r>
        <w:rPr>
          <w:rFonts w:hint="eastAsia"/>
          <w:highlight w:val="none"/>
        </w:rPr>
        <w:t>，用于存档。提交的纸质文件可采用邮寄方式，邮寄地址及联系人：广州市越秀区环市中路316号金鹰大厦</w:t>
      </w:r>
      <w:r>
        <w:rPr>
          <w:rFonts w:hint="eastAsia"/>
          <w:highlight w:val="none"/>
          <w:lang w:val="en-US" w:eastAsia="zh-CN"/>
        </w:rPr>
        <w:t>9</w:t>
      </w:r>
      <w:r>
        <w:rPr>
          <w:rFonts w:hint="eastAsia"/>
          <w:highlight w:val="none"/>
        </w:rPr>
        <w:t>楼</w:t>
      </w:r>
      <w:r>
        <w:rPr>
          <w:rFonts w:hint="eastAsia"/>
          <w:highlight w:val="none"/>
          <w:lang w:val="en-US" w:eastAsia="zh-CN"/>
        </w:rPr>
        <w:t>925</w:t>
      </w:r>
      <w:r>
        <w:rPr>
          <w:rFonts w:hint="eastAsia"/>
          <w:highlight w:val="none"/>
        </w:rPr>
        <w:t>室，李子元，</w:t>
      </w:r>
      <w:r>
        <w:rPr>
          <w:rFonts w:hint="eastAsia"/>
          <w:highlight w:val="none"/>
          <w:lang w:val="en-US" w:eastAsia="zh-CN"/>
        </w:rPr>
        <w:t>020-83541707</w:t>
      </w:r>
      <w:r>
        <w:rPr>
          <w:rFonts w:hint="eastAsia"/>
          <w:highlight w:val="none"/>
        </w:rPr>
        <w:t>。</w:t>
      </w:r>
    </w:p>
    <w:p w14:paraId="09EDB152">
      <w:pPr>
        <w:numPr>
          <w:ilvl w:val="0"/>
          <w:numId w:val="1"/>
        </w:numPr>
        <w:spacing w:line="360" w:lineRule="auto"/>
        <w:rPr>
          <w:b/>
          <w:bCs/>
          <w:color w:val="auto"/>
          <w:highlight w:val="none"/>
        </w:rPr>
      </w:pPr>
      <w:r>
        <w:rPr>
          <w:rFonts w:hint="eastAsia"/>
          <w:b/>
          <w:bCs/>
          <w:color w:val="auto"/>
          <w:highlight w:val="none"/>
        </w:rPr>
        <w:t>竞价保证金</w:t>
      </w:r>
    </w:p>
    <w:p w14:paraId="6E9BA433">
      <w:pPr>
        <w:numPr>
          <w:ilvl w:val="0"/>
          <w:numId w:val="4"/>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14:paraId="110E356B">
      <w:pPr>
        <w:numPr>
          <w:ilvl w:val="0"/>
          <w:numId w:val="4"/>
        </w:numPr>
        <w:spacing w:line="360" w:lineRule="auto"/>
        <w:ind w:left="420"/>
        <w:rPr>
          <w:color w:val="auto"/>
          <w:highlight w:val="none"/>
        </w:rPr>
      </w:pPr>
      <w:r>
        <w:rPr>
          <w:rFonts w:hint="eastAsia"/>
          <w:color w:val="auto"/>
          <w:highlight w:val="none"/>
        </w:rPr>
        <w:t>缴纳时间：竞价开始时间前到账。</w:t>
      </w:r>
    </w:p>
    <w:p w14:paraId="14593DA8">
      <w:pPr>
        <w:numPr>
          <w:ilvl w:val="0"/>
          <w:numId w:val="4"/>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14:paraId="398B22A9">
      <w:pPr>
        <w:spacing w:line="360" w:lineRule="auto"/>
        <w:ind w:firstLine="420" w:firstLineChars="200"/>
        <w:rPr>
          <w:color w:val="auto"/>
          <w:highlight w:val="none"/>
        </w:rPr>
      </w:pPr>
      <w:r>
        <w:rPr>
          <w:rFonts w:hint="eastAsia"/>
          <w:color w:val="auto"/>
          <w:highlight w:val="none"/>
        </w:rPr>
        <w:t>投标保证金转账以子账号方式缴纳投标保证金：</w:t>
      </w:r>
    </w:p>
    <w:p w14:paraId="3E1B76C0">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14:paraId="0766771F">
      <w:pPr>
        <w:spacing w:line="360" w:lineRule="auto"/>
        <w:ind w:firstLine="420" w:firstLineChars="200"/>
        <w:rPr>
          <w:color w:val="auto"/>
          <w:highlight w:val="none"/>
        </w:rPr>
      </w:pPr>
      <w:r>
        <w:rPr>
          <w:rFonts w:hint="eastAsia"/>
          <w:color w:val="auto"/>
          <w:highlight w:val="none"/>
        </w:rPr>
        <w:t>注意：</w:t>
      </w:r>
    </w:p>
    <w:p w14:paraId="5D894370">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14:paraId="7F45F3A9">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14:paraId="5A3A7030">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14:paraId="3EE268ED">
      <w:pPr>
        <w:numPr>
          <w:ilvl w:val="0"/>
          <w:numId w:val="1"/>
        </w:numPr>
        <w:spacing w:line="360" w:lineRule="auto"/>
        <w:rPr>
          <w:b/>
          <w:bCs/>
          <w:color w:val="auto"/>
          <w:highlight w:val="none"/>
        </w:rPr>
      </w:pPr>
      <w:r>
        <w:rPr>
          <w:rFonts w:hint="eastAsia"/>
          <w:b/>
          <w:bCs/>
          <w:color w:val="auto"/>
          <w:highlight w:val="none"/>
        </w:rPr>
        <w:t>发布公告的媒介</w:t>
      </w:r>
    </w:p>
    <w:p w14:paraId="5B1C2ACB">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14:paraId="35F2627C">
      <w:pPr>
        <w:numPr>
          <w:ilvl w:val="0"/>
          <w:numId w:val="1"/>
        </w:numPr>
        <w:spacing w:line="360" w:lineRule="auto"/>
        <w:rPr>
          <w:b/>
          <w:bCs/>
          <w:color w:val="auto"/>
          <w:highlight w:val="none"/>
        </w:rPr>
      </w:pPr>
      <w:r>
        <w:rPr>
          <w:rFonts w:hint="eastAsia"/>
          <w:b/>
          <w:bCs/>
          <w:color w:val="auto"/>
          <w:highlight w:val="none"/>
        </w:rPr>
        <w:t>联系方式</w:t>
      </w:r>
    </w:p>
    <w:p w14:paraId="67783A49">
      <w:pPr>
        <w:pStyle w:val="10"/>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14:paraId="3B70E9F1">
      <w:pPr>
        <w:pStyle w:val="10"/>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14:paraId="6DA469FF">
      <w:pPr>
        <w:pStyle w:val="10"/>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14:paraId="462DECD8">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3">
    <w:nsid w:val="19BAF538"/>
    <w:multiLevelType w:val="singleLevel"/>
    <w:tmpl w:val="19BAF53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A12CF"/>
    <w:rsid w:val="17EA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semiHidden/>
    <w:unhideWhenUsed/>
    <w:qFormat/>
    <w:uiPriority w:val="0"/>
  </w:style>
  <w:style w:type="paragraph" w:styleId="3">
    <w:name w:val="Body Text"/>
    <w:basedOn w:val="1"/>
    <w:next w:val="4"/>
    <w:unhideWhenUsed/>
    <w:qFormat/>
    <w:uiPriority w:val="99"/>
    <w:pPr>
      <w:spacing w:after="120" w:line="240" w:lineRule="auto"/>
      <w:ind w:firstLine="0"/>
    </w:pPr>
  </w:style>
  <w:style w:type="paragraph" w:customStyle="1" w:styleId="4">
    <w:name w:val="正文0"/>
    <w:basedOn w:val="1"/>
    <w:qFormat/>
    <w:uiPriority w:val="0"/>
    <w:rPr>
      <w:szCs w:val="24"/>
    </w:rPr>
  </w:style>
  <w:style w:type="paragraph" w:styleId="5">
    <w:name w:val="footer"/>
    <w:basedOn w:val="1"/>
    <w:qFormat/>
    <w:uiPriority w:val="0"/>
    <w:pPr>
      <w:tabs>
        <w:tab w:val="center" w:pos="4153"/>
        <w:tab w:val="right" w:pos="8306"/>
      </w:tabs>
      <w:snapToGrid w:val="0"/>
      <w:spacing w:line="240" w:lineRule="auto"/>
      <w:jc w:val="left"/>
    </w:pPr>
    <w:rPr>
      <w:sz w:val="18"/>
      <w:szCs w:val="18"/>
    </w:rPr>
  </w:style>
  <w:style w:type="paragraph" w:styleId="6">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7">
    <w:name w:val="Body Text First Indent"/>
    <w:basedOn w:val="3"/>
    <w:next w:val="1"/>
    <w:qFormat/>
    <w:uiPriority w:val="0"/>
    <w:pPr>
      <w:widowControl/>
      <w:ind w:firstLine="420" w:firstLineChars="100"/>
      <w:jc w:val="left"/>
    </w:pPr>
    <w:rPr>
      <w:rFonts w:ascii="Times New Roman"/>
      <w:sz w:val="21"/>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2025-01-14T01:57:00Z</dcterms:created>
  <dc:creator>lenovo</dc:creator>
  <cp:lastModifiedBy>lenovo</cp:lastModifiedBy>
  <dcterms:modified xsi:type="dcterms:W3CDTF">2025-01-14T01:57:55Z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95C478DEAE414B67A366DA1627D14B2D_11</vt:lpwstr>
  </property>
  <property fmtid="{D5CDD505-2E9C-101B-9397-08002B2CF9AE}" pid="4" name="KSOTemplateDocerSaveRecord">
    <vt:lpwstr>eyJoZGlkIjoiMWJkMDg1ZGFmYmViMGMzNDMzYTVjMThhMzY1ZjAzYmEiLCJ1c2VySWQiOiIyMjY5NDQ5MTAifQ==</vt:lpwstr>
  </property>
</Properties>
</file>