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宋体" w:hAnsi="宋体"/>
          <w:color w:val="auto"/>
          <w:highlight w:val="none"/>
        </w:rPr>
      </w:pPr>
    </w:p>
    <w:p>
      <w:pPr>
        <w:pStyle w:val="10"/>
        <w:tabs>
          <w:tab w:val="left" w:pos="7371"/>
        </w:tabs>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850" w:rightChars="405"/>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1275" w:rightChars="607"/>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pPr>
        <w:autoSpaceDE w:val="0"/>
        <w:autoSpaceDN w:val="0"/>
        <w:adjustRightInd w:val="0"/>
        <w:snapToGrid w:val="0"/>
        <w:spacing w:line="360" w:lineRule="auto"/>
        <w:ind w:left="1886" w:leftChars="229" w:right="1275" w:rightChars="607" w:hanging="1405" w:hangingChars="500"/>
        <w:rPr>
          <w:rFonts w:hint="eastAsia" w:ascii="宋体" w:hAnsi="宋体"/>
          <w:b/>
          <w:bCs/>
          <w:color w:val="auto"/>
          <w:sz w:val="28"/>
          <w:szCs w:val="32"/>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广东省未成年犯管教所、向荣企业公司2024-2026年</w:t>
      </w:r>
    </w:p>
    <w:p>
      <w:pPr>
        <w:autoSpaceDE w:val="0"/>
        <w:autoSpaceDN w:val="0"/>
        <w:adjustRightInd w:val="0"/>
        <w:snapToGrid w:val="0"/>
        <w:spacing w:line="360" w:lineRule="auto"/>
        <w:ind w:left="1877" w:leftChars="894" w:right="1275" w:rightChars="607" w:firstLine="0" w:firstLineChars="0"/>
        <w:jc w:val="left"/>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32"/>
          <w:highlight w:val="none"/>
          <w:u w:val="single"/>
          <w:lang w:eastAsia="zh-CN"/>
        </w:rPr>
        <w:t>桶装（瓶装）水采购项目</w:t>
      </w:r>
    </w:p>
    <w:p>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项目编号：M4400000707523526</w:t>
      </w:r>
    </w:p>
    <w:p>
      <w:pPr>
        <w:snapToGrid w:val="0"/>
        <w:spacing w:before="156" w:beforeLines="50" w:after="156" w:afterLines="50" w:line="360" w:lineRule="auto"/>
        <w:jc w:val="center"/>
        <w:rPr>
          <w:rFonts w:ascii="宋体" w:hAnsi="宋体" w:cs="华文中宋"/>
          <w:color w:val="auto"/>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月</w:t>
      </w:r>
    </w:p>
    <w:p>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pStyle w:val="18"/>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广东省未成年犯管教所、向荣企业公司2024-2026年桶装（瓶装）水采购项目</w:t>
      </w:r>
      <w:r>
        <w:rPr>
          <w:rFonts w:hint="eastAsia"/>
          <w:color w:val="auto"/>
          <w:highlight w:val="none"/>
        </w:rPr>
        <w:t>进行竞价采购。欢迎符合资格条件的供应商参加。该项目相关情况如下：</w:t>
      </w:r>
    </w:p>
    <w:p>
      <w:pPr>
        <w:numPr>
          <w:ilvl w:val="0"/>
          <w:numId w:val="2"/>
        </w:numPr>
        <w:spacing w:line="360" w:lineRule="auto"/>
        <w:rPr>
          <w:b/>
          <w:bCs/>
          <w:color w:val="auto"/>
          <w:highlight w:val="none"/>
        </w:rPr>
      </w:pPr>
      <w:r>
        <w:rPr>
          <w:rFonts w:hint="eastAsia"/>
          <w:b/>
          <w:bCs/>
          <w:color w:val="auto"/>
          <w:highlight w:val="none"/>
        </w:rPr>
        <w:t> 项目概况：</w:t>
      </w:r>
    </w:p>
    <w:p>
      <w:pPr>
        <w:numPr>
          <w:ilvl w:val="0"/>
          <w:numId w:val="3"/>
        </w:numPr>
        <w:spacing w:line="360" w:lineRule="auto"/>
        <w:ind w:firstLine="420" w:firstLineChars="200"/>
        <w:rPr>
          <w:color w:val="auto"/>
          <w:highlight w:val="none"/>
        </w:rPr>
      </w:pPr>
      <w:r>
        <w:rPr>
          <w:rFonts w:hint="eastAsia"/>
          <w:color w:val="auto"/>
          <w:highlight w:val="none"/>
        </w:rPr>
        <w:t>采购项目编号：M4400000707523526</w:t>
      </w:r>
    </w:p>
    <w:p>
      <w:pPr>
        <w:numPr>
          <w:ilvl w:val="0"/>
          <w:numId w:val="3"/>
        </w:num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lang w:eastAsia="zh-CN"/>
        </w:rPr>
        <w:t>广东省未成年犯管教所、向荣企业公司2024-2026年桶装（瓶装）水采购项目</w:t>
      </w:r>
    </w:p>
    <w:p>
      <w:pPr>
        <w:numPr>
          <w:ilvl w:val="0"/>
          <w:numId w:val="3"/>
        </w:numPr>
        <w:spacing w:line="360" w:lineRule="auto"/>
        <w:ind w:firstLine="420" w:firstLineChars="200"/>
        <w:rPr>
          <w:color w:val="auto"/>
          <w:highlight w:val="none"/>
        </w:rPr>
      </w:pPr>
      <w:r>
        <w:rPr>
          <w:rFonts w:hint="eastAsia"/>
          <w:color w:val="auto"/>
          <w:highlight w:val="none"/>
          <w:lang w:val="en-US" w:eastAsia="zh-CN"/>
        </w:rPr>
        <w:t>包组划分：本项目共1个包组</w:t>
      </w:r>
    </w:p>
    <w:p>
      <w:pPr>
        <w:numPr>
          <w:ilvl w:val="0"/>
          <w:numId w:val="3"/>
        </w:numPr>
        <w:spacing w:line="360" w:lineRule="auto"/>
        <w:ind w:firstLine="420" w:firstLineChars="200"/>
        <w:rPr>
          <w:color w:val="auto"/>
          <w:highlight w:val="none"/>
        </w:rPr>
      </w:pP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广东省未成年犯管教所、向荣企业公司2024-2026年桶装（瓶装）水采购等</w:t>
      </w:r>
      <w:r>
        <w:rPr>
          <w:rFonts w:hint="eastAsia" w:ascii="宋体" w:hAnsi="宋体" w:eastAsia="宋体" w:cs="宋体"/>
          <w:b w:val="0"/>
          <w:bCs/>
          <w:color w:val="auto"/>
          <w:sz w:val="21"/>
          <w:szCs w:val="21"/>
          <w:highlight w:val="none"/>
          <w:lang w:val="en-US" w:eastAsia="zh-CN"/>
        </w:rPr>
        <w:t>。</w:t>
      </w:r>
      <w:r>
        <w:rPr>
          <w:rFonts w:hint="eastAsia"/>
          <w:color w:val="auto"/>
          <w:highlight w:val="none"/>
        </w:rPr>
        <w:t>具体详见竞价文件第三部分“用户需求书”。</w:t>
      </w:r>
    </w:p>
    <w:p>
      <w:pPr>
        <w:numPr>
          <w:ilvl w:val="0"/>
          <w:numId w:val="3"/>
        </w:numPr>
        <w:spacing w:line="360" w:lineRule="auto"/>
        <w:ind w:firstLine="420" w:firstLineChars="200"/>
        <w:rPr>
          <w:color w:val="auto"/>
          <w:highlight w:val="none"/>
        </w:rPr>
      </w:pPr>
      <w:r>
        <w:rPr>
          <w:rFonts w:hint="eastAsia"/>
          <w:color w:val="auto"/>
          <w:highlight w:val="none"/>
        </w:rPr>
        <w:t>采购品目:</w:t>
      </w:r>
      <w:r>
        <w:rPr>
          <w:rFonts w:hint="eastAsia"/>
          <w:color w:val="auto"/>
          <w:highlight w:val="none"/>
          <w:lang w:val="en-US" w:eastAsia="zh-CN"/>
        </w:rPr>
        <w:t>服务</w:t>
      </w:r>
    </w:p>
    <w:p>
      <w:pPr>
        <w:numPr>
          <w:ilvl w:val="0"/>
          <w:numId w:val="3"/>
        </w:numPr>
        <w:spacing w:line="360" w:lineRule="auto"/>
        <w:ind w:firstLine="420" w:firstLineChars="200"/>
      </w:pPr>
      <w:r>
        <w:rPr>
          <w:rFonts w:hint="eastAsia"/>
          <w:color w:val="auto"/>
          <w:highlight w:val="none"/>
          <w:lang w:val="en-US" w:eastAsia="zh-CN"/>
        </w:rPr>
        <w:t>项目预算：20万元/年，两年预算40万元（其中行政开支预算28万元，向荣企业公司开支预算12万元，并分别签订合同和付款）。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7.周期内容</w:t>
      </w:r>
      <w:r>
        <w:rPr>
          <w:rFonts w:hint="eastAsia"/>
          <w:color w:val="auto"/>
          <w:highlight w:val="none"/>
        </w:rPr>
        <w:t>：自合同生效之日起</w:t>
      </w:r>
      <w:r>
        <w:rPr>
          <w:rFonts w:hint="eastAsia"/>
          <w:color w:val="auto"/>
          <w:highlight w:val="none"/>
          <w:u w:val="single"/>
        </w:rPr>
        <w:t xml:space="preserve">  两  </w:t>
      </w:r>
      <w:r>
        <w:rPr>
          <w:rFonts w:hint="eastAsia"/>
          <w:color w:val="auto"/>
          <w:highlight w:val="none"/>
        </w:rPr>
        <w:t>年。服务期限和</w:t>
      </w:r>
      <w:r>
        <w:rPr>
          <w:rFonts w:hint="eastAsia"/>
          <w:color w:val="auto"/>
          <w:highlight w:val="none"/>
          <w:lang w:val="en-US" w:eastAsia="zh-CN"/>
        </w:rPr>
        <w:t>预算总金额两</w:t>
      </w:r>
      <w:r>
        <w:rPr>
          <w:rFonts w:hint="eastAsia"/>
          <w:color w:val="auto"/>
          <w:highlight w:val="none"/>
        </w:rPr>
        <w:t>者其中之一达到合同约定的条件，合同自动终止。</w:t>
      </w:r>
    </w:p>
    <w:p>
      <w:pPr>
        <w:numPr>
          <w:ilvl w:val="0"/>
          <w:numId w:val="2"/>
        </w:numPr>
        <w:spacing w:line="360" w:lineRule="auto"/>
        <w:rPr>
          <w:b/>
          <w:bCs/>
          <w:color w:val="auto"/>
          <w:highlight w:val="none"/>
        </w:rPr>
      </w:pPr>
      <w:r>
        <w:rPr>
          <w:rFonts w:hint="eastAsia"/>
          <w:b/>
          <w:bCs/>
          <w:color w:val="auto"/>
          <w:highlight w:val="none"/>
        </w:rPr>
        <w:t>供应商资格要求：</w:t>
      </w:r>
    </w:p>
    <w:p>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投标人均具有独立法人资格，持有工商行政管理部门核发的法人营业执照，按国家法律经营。</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符合国标GB19298-2014《食品安全国家标准 包装饮用水》GB8537-2018《食品安全国家标准 饮用天然矿泉水》，饮用水品牌为景田。</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供应商须提供质量监督部门出具的最近6个月的任一月所提供货物的质检测合格报告。（报价时须提供国家认定的第三方检测机构出具的检测报告复印件加盖公章）</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服务期内须提供每季度广州市质量监督检测研究院出具的检验合格报告，如因产品质量所造成的损失全部由供应商承担。</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w:t>
      </w:r>
      <w:r>
        <w:rPr>
          <w:rFonts w:hint="eastAsia" w:ascii="Times New Roman" w:hAnsi="Times New Roman" w:cs="Times New Roman"/>
          <w:color w:val="auto"/>
          <w:highlight w:val="none"/>
          <w:lang w:val="en-US" w:eastAsia="zh-CN"/>
        </w:rPr>
        <w:t>人</w:t>
      </w:r>
      <w:r>
        <w:rPr>
          <w:rFonts w:hint="eastAsia" w:ascii="Times New Roman" w:hAnsi="Times New Roman" w:cs="Times New Roman"/>
          <w:color w:val="auto"/>
          <w:highlight w:val="none"/>
        </w:rPr>
        <w:t>没有处于被责令停业的状态，没有处于财产被接管、冻结、破产的状态。</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pPr>
        <w:numPr>
          <w:ilvl w:val="0"/>
          <w:numId w:val="2"/>
        </w:numPr>
        <w:spacing w:line="360" w:lineRule="auto"/>
        <w:rPr>
          <w:b/>
          <w:bCs/>
          <w:color w:val="auto"/>
          <w:highlight w:val="none"/>
        </w:rPr>
      </w:pPr>
      <w:r>
        <w:rPr>
          <w:rFonts w:hint="eastAsia"/>
          <w:b/>
          <w:bCs/>
          <w:color w:val="auto"/>
          <w:highlight w:val="none"/>
        </w:rPr>
        <w:t>电子竞价文件的获取</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29</w:t>
      </w:r>
      <w:r>
        <w:rPr>
          <w:rFonts w:hint="eastAsia"/>
          <w:color w:val="auto"/>
          <w:highlight w:val="none"/>
        </w:rPr>
        <w:t>日至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7</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pPr>
        <w:numPr>
          <w:ilvl w:val="0"/>
          <w:numId w:val="2"/>
        </w:numPr>
        <w:spacing w:line="360" w:lineRule="auto"/>
        <w:rPr>
          <w:b/>
          <w:bCs/>
          <w:color w:val="auto"/>
          <w:highlight w:val="none"/>
        </w:rPr>
      </w:pPr>
      <w:r>
        <w:rPr>
          <w:rFonts w:hint="eastAsia"/>
          <w:b/>
          <w:bCs/>
          <w:color w:val="auto"/>
          <w:highlight w:val="none"/>
        </w:rPr>
        <w:t>电子竞价时间和方式</w:t>
      </w:r>
    </w:p>
    <w:p>
      <w:pPr>
        <w:numPr>
          <w:ilvl w:val="0"/>
          <w:numId w:val="4"/>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pPr>
        <w:numPr>
          <w:ilvl w:val="0"/>
          <w:numId w:val="4"/>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bookmarkStart w:id="2" w:name="_GoBack"/>
      <w:bookmarkEnd w:id="2"/>
      <w:r>
        <w:rPr>
          <w:rFonts w:hint="eastAsia"/>
          <w:color w:val="auto"/>
          <w:highlight w:val="none"/>
          <w:u w:val="single"/>
          <w:lang w:val="en-US" w:eastAsia="zh-CN"/>
        </w:rPr>
        <w:t>8</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4"/>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8</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4"/>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具有独立承担民事责任的在中华人民共和国境内注册的法人或其他组织，</w:t>
      </w:r>
      <w:r>
        <w:rPr>
          <w:rFonts w:hint="eastAsia" w:ascii="Times New Roman" w:hAnsi="Times New Roman" w:cs="Times New Roman"/>
          <w:b w:val="0"/>
          <w:bCs w:val="0"/>
          <w:color w:val="auto"/>
          <w:highlight w:val="none"/>
        </w:rPr>
        <w:t>提供法人或其他组织的营业执照等证明材料。</w:t>
      </w:r>
    </w:p>
    <w:p>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提供质量监督部门出具的最近6个月的任一月所提供货物的质检测合格报告。（报价时须提供国家认定的第三方检测机构出具的检测报告复印件加盖公章）。</w:t>
      </w:r>
    </w:p>
    <w:p>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pPr>
        <w:numPr>
          <w:ilvl w:val="0"/>
          <w:numId w:val="5"/>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pPr>
        <w:numPr>
          <w:ilvl w:val="0"/>
          <w:numId w:val="5"/>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pPr>
        <w:numPr>
          <w:ilvl w:val="0"/>
          <w:numId w:val="4"/>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pPr>
        <w:numPr>
          <w:ilvl w:val="0"/>
          <w:numId w:val="4"/>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pPr>
        <w:numPr>
          <w:ilvl w:val="0"/>
          <w:numId w:val="4"/>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w:t>
      </w:r>
      <w:r>
        <w:rPr>
          <w:rFonts w:hint="eastAsia"/>
          <w:highlight w:val="none"/>
          <w:lang w:eastAsia="zh-CN"/>
        </w:rPr>
        <w:t>最</w:t>
      </w:r>
      <w:r>
        <w:rPr>
          <w:rFonts w:hint="eastAsia"/>
          <w:highlight w:val="none"/>
          <w:lang w:val="en-US" w:eastAsia="zh-CN"/>
        </w:rPr>
        <w:t>高限</w:t>
      </w:r>
      <w:r>
        <w:rPr>
          <w:rFonts w:hint="eastAsia"/>
          <w:highlight w:val="none"/>
          <w:lang w:eastAsia="zh-CN"/>
        </w:rPr>
        <w:t>价：最</w:t>
      </w:r>
      <w:r>
        <w:rPr>
          <w:rFonts w:hint="eastAsia"/>
          <w:highlight w:val="none"/>
          <w:lang w:val="en-US" w:eastAsia="zh-CN"/>
        </w:rPr>
        <w:t>低</w:t>
      </w:r>
      <w:r>
        <w:rPr>
          <w:rFonts w:hint="eastAsia"/>
          <w:highlight w:val="none"/>
          <w:lang w:eastAsia="zh-CN"/>
        </w:rPr>
        <w:t>价成交时供应商报价时需</w:t>
      </w:r>
      <w:r>
        <w:rPr>
          <w:rFonts w:hint="eastAsia"/>
          <w:highlight w:val="none"/>
          <w:lang w:val="en-US" w:eastAsia="zh-CN"/>
        </w:rPr>
        <w:t>低</w:t>
      </w:r>
      <w:r>
        <w:rPr>
          <w:rFonts w:hint="eastAsia"/>
          <w:highlight w:val="none"/>
          <w:lang w:eastAsia="zh-CN"/>
        </w:rPr>
        <w:t>于最</w:t>
      </w:r>
      <w:r>
        <w:rPr>
          <w:rFonts w:hint="eastAsia"/>
          <w:highlight w:val="none"/>
          <w:lang w:val="en-US" w:eastAsia="zh-CN"/>
        </w:rPr>
        <w:t>高限</w:t>
      </w:r>
      <w:r>
        <w:rPr>
          <w:rFonts w:hint="eastAsia"/>
          <w:highlight w:val="none"/>
          <w:lang w:eastAsia="zh-CN"/>
        </w:rPr>
        <w:t>价。</w:t>
      </w:r>
    </w:p>
    <w:p>
      <w:pPr>
        <w:numPr>
          <w:ilvl w:val="0"/>
          <w:numId w:val="4"/>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：供应商可查看最</w:t>
      </w:r>
      <w:r>
        <w:rPr>
          <w:rFonts w:hint="eastAsia"/>
          <w:highlight w:val="none"/>
          <w:lang w:val="en-US" w:eastAsia="zh-CN"/>
        </w:rPr>
        <w:t>低</w:t>
      </w:r>
      <w:r>
        <w:rPr>
          <w:rFonts w:hint="eastAsia"/>
          <w:highlight w:val="none"/>
          <w:lang w:eastAsia="zh-CN"/>
        </w:rPr>
        <w:t>报价。</w:t>
      </w:r>
    </w:p>
    <w:p>
      <w:pPr>
        <w:numPr>
          <w:ilvl w:val="0"/>
          <w:numId w:val="4"/>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pPr>
        <w:numPr>
          <w:ilvl w:val="0"/>
          <w:numId w:val="4"/>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pPr>
        <w:numPr>
          <w:ilvl w:val="0"/>
          <w:numId w:val="4"/>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pPr>
        <w:numPr>
          <w:ilvl w:val="0"/>
          <w:numId w:val="2"/>
        </w:numPr>
        <w:spacing w:line="360" w:lineRule="auto"/>
        <w:rPr>
          <w:b/>
          <w:bCs/>
          <w:color w:val="auto"/>
          <w:highlight w:val="none"/>
        </w:rPr>
      </w:pPr>
      <w:r>
        <w:rPr>
          <w:rFonts w:hint="eastAsia"/>
          <w:b/>
          <w:bCs/>
          <w:color w:val="auto"/>
          <w:highlight w:val="none"/>
        </w:rPr>
        <w:t>竞价保证金</w:t>
      </w:r>
    </w:p>
    <w:p>
      <w:pPr>
        <w:numPr>
          <w:ilvl w:val="0"/>
          <w:numId w:val="6"/>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pPr>
        <w:numPr>
          <w:ilvl w:val="0"/>
          <w:numId w:val="6"/>
        </w:numPr>
        <w:spacing w:line="360" w:lineRule="auto"/>
        <w:ind w:left="420"/>
        <w:rPr>
          <w:color w:val="auto"/>
          <w:highlight w:val="none"/>
        </w:rPr>
      </w:pPr>
      <w:r>
        <w:rPr>
          <w:rFonts w:hint="eastAsia"/>
          <w:color w:val="auto"/>
          <w:highlight w:val="none"/>
        </w:rPr>
        <w:t>缴纳时间：竞价开始时间前到账。</w:t>
      </w:r>
    </w:p>
    <w:p>
      <w:pPr>
        <w:numPr>
          <w:ilvl w:val="0"/>
          <w:numId w:val="6"/>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pPr>
        <w:spacing w:line="360" w:lineRule="auto"/>
        <w:ind w:firstLine="420" w:firstLineChars="200"/>
        <w:rPr>
          <w:color w:val="auto"/>
          <w:highlight w:val="none"/>
        </w:rPr>
      </w:pPr>
      <w:r>
        <w:rPr>
          <w:rFonts w:hint="eastAsia"/>
          <w:color w:val="auto"/>
          <w:highlight w:val="none"/>
        </w:rPr>
        <w:t>投标保证金转账以子账号方式缴纳投标保证金：</w:t>
      </w:r>
    </w:p>
    <w:p>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pPr>
        <w:spacing w:line="360" w:lineRule="auto"/>
        <w:ind w:firstLine="420" w:firstLineChars="200"/>
        <w:rPr>
          <w:color w:val="auto"/>
          <w:highlight w:val="none"/>
        </w:rPr>
      </w:pPr>
      <w:r>
        <w:rPr>
          <w:rFonts w:hint="eastAsia"/>
          <w:color w:val="auto"/>
          <w:highlight w:val="none"/>
        </w:rPr>
        <w:t>注意：</w:t>
      </w:r>
    </w:p>
    <w:p>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pPr>
        <w:numPr>
          <w:ilvl w:val="0"/>
          <w:numId w:val="2"/>
        </w:numPr>
        <w:spacing w:line="360" w:lineRule="auto"/>
        <w:rPr>
          <w:b/>
          <w:bCs/>
          <w:color w:val="auto"/>
          <w:highlight w:val="none"/>
        </w:rPr>
      </w:pPr>
      <w:r>
        <w:rPr>
          <w:rFonts w:hint="eastAsia"/>
          <w:b/>
          <w:bCs/>
          <w:color w:val="auto"/>
          <w:highlight w:val="none"/>
        </w:rPr>
        <w:t>发布公告的媒介</w:t>
      </w:r>
    </w:p>
    <w:p>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pPr>
        <w:numPr>
          <w:ilvl w:val="0"/>
          <w:numId w:val="2"/>
        </w:numPr>
        <w:spacing w:line="360" w:lineRule="auto"/>
        <w:rPr>
          <w:b/>
          <w:bCs/>
          <w:color w:val="auto"/>
          <w:highlight w:val="none"/>
        </w:rPr>
      </w:pPr>
      <w:r>
        <w:rPr>
          <w:rFonts w:hint="eastAsia"/>
          <w:b/>
          <w:bCs/>
          <w:color w:val="auto"/>
          <w:highlight w:val="none"/>
        </w:rPr>
        <w:t>联系方式</w:t>
      </w:r>
    </w:p>
    <w:p>
      <w:pPr>
        <w:pStyle w:val="35"/>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pPr>
        <w:pStyle w:val="35"/>
        <w:numPr>
          <w:ilvl w:val="0"/>
          <w:numId w:val="7"/>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pPr>
        <w:pStyle w:val="35"/>
        <w:numPr>
          <w:ilvl w:val="0"/>
          <w:numId w:val="7"/>
        </w:numPr>
        <w:spacing w:line="360" w:lineRule="auto"/>
        <w:ind w:firstLineChars="0"/>
        <w:rPr>
          <w:rFonts w:ascii="宋体" w:hAnsi="宋体"/>
          <w:color w:val="auto"/>
          <w:highlight w:val="none"/>
        </w:rPr>
      </w:pPr>
      <w:r>
        <w:rPr>
          <w:rFonts w:ascii="宋体" w:hAnsi="宋体"/>
          <w:color w:val="auto"/>
          <w:highlight w:val="none"/>
        </w:rPr>
        <w:t>语言要求</w:t>
      </w:r>
    </w:p>
    <w:p>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pPr>
        <w:pStyle w:val="35"/>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pPr>
        <w:pStyle w:val="35"/>
        <w:numPr>
          <w:ilvl w:val="0"/>
          <w:numId w:val="8"/>
        </w:numPr>
        <w:spacing w:line="360" w:lineRule="auto"/>
        <w:ind w:firstLineChars="0"/>
        <w:rPr>
          <w:rFonts w:ascii="宋体" w:hAnsi="宋体"/>
          <w:b/>
          <w:color w:val="auto"/>
          <w:highlight w:val="none"/>
        </w:rPr>
      </w:pPr>
      <w:r>
        <w:rPr>
          <w:rStyle w:val="23"/>
          <w:rFonts w:hint="eastAsia" w:ascii="宋体" w:hAnsi="宋体"/>
          <w:color w:val="auto"/>
          <w:highlight w:val="none"/>
        </w:rPr>
        <w:t>竞价说明</w:t>
      </w:r>
    </w:p>
    <w:p>
      <w:pPr>
        <w:pStyle w:val="35"/>
        <w:numPr>
          <w:ilvl w:val="0"/>
          <w:numId w:val="9"/>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pPr>
        <w:pStyle w:val="35"/>
        <w:numPr>
          <w:ilvl w:val="0"/>
          <w:numId w:val="10"/>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低</w:t>
      </w:r>
      <w:r>
        <w:rPr>
          <w:rFonts w:hint="eastAsia" w:ascii="宋体" w:hAnsi="宋体"/>
          <w:color w:val="auto"/>
          <w:highlight w:val="none"/>
        </w:rPr>
        <w:t>于最</w:t>
      </w:r>
      <w:r>
        <w:rPr>
          <w:rFonts w:hint="eastAsia" w:ascii="宋体" w:hAnsi="宋体"/>
          <w:color w:val="auto"/>
          <w:highlight w:val="none"/>
          <w:lang w:val="en-US" w:eastAsia="zh-CN"/>
        </w:rPr>
        <w:t>低</w:t>
      </w:r>
      <w:r>
        <w:rPr>
          <w:rFonts w:hint="eastAsia" w:ascii="宋体" w:hAnsi="宋体"/>
          <w:color w:val="auto"/>
          <w:highlight w:val="none"/>
        </w:rPr>
        <w:t>限价的视为无效报价。</w:t>
      </w:r>
    </w:p>
    <w:p>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pPr>
        <w:pStyle w:val="35"/>
        <w:numPr>
          <w:ilvl w:val="0"/>
          <w:numId w:val="12"/>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pPr>
        <w:pStyle w:val="17"/>
        <w:numPr>
          <w:ilvl w:val="0"/>
          <w:numId w:val="12"/>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pPr>
        <w:pStyle w:val="17"/>
        <w:numPr>
          <w:ilvl w:val="0"/>
          <w:numId w:val="12"/>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7"/>
        <w:numPr>
          <w:ilvl w:val="0"/>
          <w:numId w:val="12"/>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pPr>
        <w:pStyle w:val="35"/>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pPr>
        <w:numPr>
          <w:ilvl w:val="0"/>
          <w:numId w:val="14"/>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一、采购内容及技术要求</w:t>
      </w:r>
    </w:p>
    <w:p>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全体在职（含广东省向荣企业公司）警察职工包装饮用水供应资格。成交供应商供货内容清单</w:t>
      </w:r>
      <w:r>
        <w:rPr>
          <w:rFonts w:hint="eastAsia" w:ascii="宋体" w:hAnsi="宋体" w:eastAsia="宋体" w:cs="宋体"/>
          <w:sz w:val="21"/>
          <w:szCs w:val="21"/>
          <w:lang w:eastAsia="zh-CN"/>
        </w:rPr>
        <w:t>：</w:t>
      </w:r>
    </w:p>
    <w:tbl>
      <w:tblPr>
        <w:tblStyle w:val="20"/>
        <w:tblW w:w="9580" w:type="dxa"/>
        <w:tblInd w:w="0" w:type="dxa"/>
        <w:tblLayout w:type="fixed"/>
        <w:tblCellMar>
          <w:top w:w="0" w:type="dxa"/>
          <w:left w:w="0" w:type="dxa"/>
          <w:bottom w:w="0" w:type="dxa"/>
          <w:right w:w="0" w:type="dxa"/>
        </w:tblCellMar>
      </w:tblPr>
      <w:tblGrid>
        <w:gridCol w:w="2789"/>
        <w:gridCol w:w="1809"/>
        <w:gridCol w:w="2193"/>
        <w:gridCol w:w="2789"/>
      </w:tblGrid>
      <w:tr>
        <w:tblPrEx>
          <w:tblCellMar>
            <w:top w:w="0" w:type="dxa"/>
            <w:left w:w="0" w:type="dxa"/>
            <w:bottom w:w="0" w:type="dxa"/>
            <w:right w:w="0" w:type="dxa"/>
          </w:tblCellMar>
        </w:tblPrEx>
        <w:trPr>
          <w:trHeight w:val="654" w:hRule="atLeast"/>
        </w:trPr>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供货清单</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规格/单位</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单价最高限价</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服务期限</w:t>
            </w:r>
          </w:p>
        </w:tc>
      </w:tr>
      <w:tr>
        <w:tblPrEx>
          <w:tblCellMar>
            <w:top w:w="0" w:type="dxa"/>
            <w:left w:w="0" w:type="dxa"/>
            <w:bottom w:w="0" w:type="dxa"/>
            <w:right w:w="0" w:type="dxa"/>
          </w:tblCellMar>
        </w:tblPrEx>
        <w:trPr>
          <w:trHeight w:val="654" w:hRule="atLeast"/>
        </w:trPr>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（元）</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景田天然泉水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18.9L/桶</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14.87</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自合同签订之日起2年</w:t>
            </w: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景田纯净水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4.6L/4支/箱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32.20</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景田纯净水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560ML/24支/箱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29.87</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65"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景田百岁山矿泉水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348ML/24支/箱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28.93</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注：</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单价包括单位货物的生产、包装、仓储、运输、保险以及验收、调换、售后服务、技术服务、质保期保障服务、税金等一切费用。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sz w:val="21"/>
          <w:szCs w:val="21"/>
          <w:highlight w:val="none"/>
          <w:lang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hr-HR"/>
        </w:rPr>
        <w:t>采购数量以实际需求量为准，货款结算按</w:t>
      </w:r>
      <w:r>
        <w:rPr>
          <w:rFonts w:hint="eastAsia" w:ascii="宋体" w:hAnsi="宋体" w:eastAsia="宋体" w:cs="宋体"/>
          <w:b/>
          <w:bCs/>
          <w:kern w:val="2"/>
          <w:sz w:val="21"/>
          <w:szCs w:val="21"/>
          <w:lang w:val="hr-HR"/>
        </w:rPr>
        <w:t>成交</w:t>
      </w:r>
      <w:r>
        <w:rPr>
          <w:rFonts w:hint="eastAsia" w:ascii="宋体" w:hAnsi="宋体" w:eastAsia="宋体" w:cs="宋体"/>
          <w:b/>
          <w:bCs/>
          <w:kern w:val="2"/>
          <w:sz w:val="21"/>
          <w:szCs w:val="21"/>
          <w:lang w:val="en-US" w:eastAsia="zh-CN"/>
        </w:rPr>
        <w:t>折扣率</w:t>
      </w:r>
      <w:r>
        <w:rPr>
          <w:rFonts w:hint="eastAsia" w:ascii="宋体" w:hAnsi="宋体" w:eastAsia="宋体" w:cs="宋体"/>
          <w:b/>
          <w:bCs/>
          <w:kern w:val="2"/>
          <w:sz w:val="21"/>
          <w:szCs w:val="21"/>
          <w:lang w:val="hr-HR"/>
        </w:rPr>
        <w:t>×</w:t>
      </w:r>
      <w:r>
        <w:rPr>
          <w:rFonts w:hint="eastAsia" w:ascii="宋体" w:hAnsi="宋体" w:eastAsia="宋体" w:cs="宋体"/>
          <w:b/>
          <w:bCs/>
          <w:kern w:val="2"/>
          <w:sz w:val="21"/>
          <w:szCs w:val="21"/>
          <w:lang w:val="en-US" w:eastAsia="zh-CN"/>
        </w:rPr>
        <w:t>单价最高限价</w:t>
      </w:r>
      <w:r>
        <w:rPr>
          <w:rFonts w:hint="eastAsia" w:ascii="宋体" w:hAnsi="宋体" w:eastAsia="宋体" w:cs="宋体"/>
          <w:b/>
          <w:bCs/>
          <w:kern w:val="2"/>
          <w:sz w:val="21"/>
          <w:szCs w:val="21"/>
          <w:lang w:val="hr-HR"/>
        </w:rPr>
        <w:t>×实际采购数量</w:t>
      </w:r>
      <w:r>
        <w:rPr>
          <w:rFonts w:hint="eastAsia" w:ascii="宋体" w:hAnsi="宋体" w:eastAsia="宋体" w:cs="宋体"/>
          <w:kern w:val="2"/>
          <w:sz w:val="21"/>
          <w:szCs w:val="21"/>
          <w:lang w:val="hr-HR"/>
        </w:rPr>
        <w:t>进行结算。</w:t>
      </w:r>
      <w:r>
        <w:rPr>
          <w:rFonts w:hint="eastAsia" w:ascii="宋体" w:hAnsi="宋体" w:eastAsia="宋体" w:cs="宋体"/>
          <w:kern w:val="2"/>
          <w:sz w:val="21"/>
          <w:szCs w:val="21"/>
        </w:rPr>
        <w:t>监狱机关结算资金来源为行政经费，广东省向荣企业公司结算资金为企业经费</w:t>
      </w:r>
      <w:r>
        <w:rPr>
          <w:rFonts w:hint="eastAsia" w:ascii="宋体" w:hAnsi="宋体" w:eastAsia="宋体" w:cs="宋体"/>
          <w:kern w:val="2"/>
          <w:sz w:val="21"/>
          <w:szCs w:val="21"/>
          <w:lang w:eastAsia="zh-CN"/>
        </w:rPr>
        <w:t>，</w:t>
      </w:r>
      <w:r>
        <w:rPr>
          <w:rFonts w:hint="eastAsia" w:ascii="宋体" w:hAnsi="宋体" w:eastAsia="宋体" w:cs="宋体"/>
          <w:kern w:val="2"/>
          <w:sz w:val="21"/>
          <w:szCs w:val="21"/>
          <w:highlight w:val="yellow"/>
        </w:rPr>
        <w:t>监狱机关</w:t>
      </w:r>
      <w:r>
        <w:rPr>
          <w:rFonts w:hint="eastAsia" w:ascii="宋体" w:hAnsi="宋体" w:cs="宋体"/>
          <w:kern w:val="2"/>
          <w:sz w:val="21"/>
          <w:szCs w:val="21"/>
          <w:highlight w:val="yellow"/>
          <w:lang w:val="en-US" w:eastAsia="zh-CN"/>
        </w:rPr>
        <w:t>与</w:t>
      </w:r>
      <w:r>
        <w:rPr>
          <w:rFonts w:hint="eastAsia" w:ascii="宋体" w:hAnsi="宋体" w:eastAsia="宋体" w:cs="宋体"/>
          <w:kern w:val="2"/>
          <w:sz w:val="21"/>
          <w:szCs w:val="21"/>
          <w:highlight w:val="yellow"/>
        </w:rPr>
        <w:t>广东省向荣企业公司</w:t>
      </w:r>
      <w:r>
        <w:rPr>
          <w:rFonts w:hint="eastAsia" w:ascii="宋体" w:hAnsi="宋体" w:cs="宋体"/>
          <w:kern w:val="2"/>
          <w:sz w:val="21"/>
          <w:szCs w:val="21"/>
          <w:highlight w:val="yellow"/>
          <w:lang w:val="en-US" w:eastAsia="zh-CN"/>
        </w:rPr>
        <w:t>采用以上结算方式分别结算</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报价方式</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sz w:val="21"/>
          <w:szCs w:val="21"/>
          <w:highlight w:val="none"/>
        </w:rPr>
      </w:pPr>
      <w:r>
        <w:rPr>
          <w:rFonts w:hint="eastAsia" w:cs="Times New Roman"/>
          <w:color w:val="auto"/>
          <w:kern w:val="2"/>
          <w:sz w:val="21"/>
          <w:szCs w:val="24"/>
          <w:highlight w:val="none"/>
          <w:lang w:val="en-US" w:eastAsia="zh-CN"/>
        </w:rPr>
        <w:t>本项目采用折扣率报价方式进行报价，即供应商在广咨电子招投标交易平台报价时只需填报折扣率，此折扣率为四种规格货物的统一折扣率，结算时均按成交折扣率进行折扣计算，即</w:t>
      </w:r>
      <w:r>
        <w:rPr>
          <w:rFonts w:hint="eastAsia" w:cs="Times New Roman"/>
          <w:b/>
          <w:bCs/>
          <w:color w:val="auto"/>
          <w:kern w:val="2"/>
          <w:sz w:val="21"/>
          <w:szCs w:val="24"/>
          <w:highlight w:val="none"/>
          <w:lang w:val="en-US" w:eastAsia="zh-CN"/>
        </w:rPr>
        <w:t>结算金额=</w:t>
      </w:r>
      <w:r>
        <w:rPr>
          <w:rFonts w:hint="eastAsia" w:ascii="宋体" w:hAnsi="宋体" w:eastAsia="宋体" w:cs="宋体"/>
          <w:b/>
          <w:bCs/>
          <w:kern w:val="2"/>
          <w:sz w:val="21"/>
          <w:szCs w:val="21"/>
          <w:lang w:val="hr-HR"/>
        </w:rPr>
        <w:t>成交</w:t>
      </w:r>
      <w:r>
        <w:rPr>
          <w:rFonts w:hint="eastAsia" w:ascii="宋体" w:hAnsi="宋体" w:eastAsia="宋体" w:cs="宋体"/>
          <w:b/>
          <w:bCs/>
          <w:kern w:val="2"/>
          <w:sz w:val="21"/>
          <w:szCs w:val="21"/>
          <w:lang w:val="en-US" w:eastAsia="zh-CN"/>
        </w:rPr>
        <w:t>折扣率</w:t>
      </w:r>
      <w:r>
        <w:rPr>
          <w:rFonts w:hint="eastAsia" w:ascii="宋体" w:hAnsi="宋体" w:eastAsia="宋体" w:cs="宋体"/>
          <w:b/>
          <w:bCs/>
          <w:kern w:val="2"/>
          <w:sz w:val="21"/>
          <w:szCs w:val="21"/>
          <w:lang w:val="hr-HR"/>
        </w:rPr>
        <w:t>×</w:t>
      </w:r>
      <w:r>
        <w:rPr>
          <w:rFonts w:hint="eastAsia" w:ascii="宋体" w:hAnsi="宋体" w:eastAsia="宋体" w:cs="宋体"/>
          <w:b/>
          <w:bCs/>
          <w:kern w:val="2"/>
          <w:sz w:val="21"/>
          <w:szCs w:val="21"/>
          <w:lang w:val="en-US" w:eastAsia="zh-CN"/>
        </w:rPr>
        <w:t>单价最高限价</w:t>
      </w:r>
      <w:r>
        <w:rPr>
          <w:rFonts w:hint="eastAsia" w:ascii="宋体" w:hAnsi="宋体" w:eastAsia="宋体" w:cs="宋体"/>
          <w:b/>
          <w:bCs/>
          <w:kern w:val="2"/>
          <w:sz w:val="21"/>
          <w:szCs w:val="21"/>
          <w:lang w:val="hr-HR"/>
        </w:rPr>
        <w:t>×实际采购数量</w:t>
      </w:r>
      <w:r>
        <w:rPr>
          <w:rFonts w:hint="eastAsia" w:ascii="宋体" w:hAnsi="宋体" w:cs="宋体"/>
          <w:b/>
          <w:bCs/>
          <w:kern w:val="2"/>
          <w:sz w:val="21"/>
          <w:szCs w:val="21"/>
          <w:lang w:val="hr-HR" w:eastAsia="zh-CN"/>
        </w:rPr>
        <w:t>，</w:t>
      </w:r>
      <w:r>
        <w:rPr>
          <w:rFonts w:hint="eastAsia" w:ascii="宋体" w:hAnsi="宋体" w:cs="宋体"/>
          <w:b/>
          <w:bCs/>
          <w:kern w:val="2"/>
          <w:sz w:val="21"/>
          <w:szCs w:val="21"/>
          <w:lang w:val="en-US" w:eastAsia="zh-CN"/>
        </w:rPr>
        <w:t>项目采购总预算不变</w:t>
      </w:r>
      <w:r>
        <w:rPr>
          <w:rFonts w:hint="eastAsia" w:ascii="宋体" w:hAnsi="宋体" w:cs="宋体"/>
          <w:b/>
          <w:bCs/>
          <w:kern w:val="2"/>
          <w:sz w:val="21"/>
          <w:szCs w:val="21"/>
          <w:lang w:val="hr-HR" w:eastAsia="zh-CN"/>
        </w:rPr>
        <w:t>。</w:t>
      </w:r>
      <w:bookmarkStart w:id="0" w:name="_Toc281899637"/>
      <w:bookmarkStart w:id="1" w:name="_Toc281228354"/>
    </w:p>
    <w:p>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、付款方式</w:t>
      </w:r>
      <w:bookmarkEnd w:id="0"/>
      <w:bookmarkEnd w:id="1"/>
    </w:p>
    <w:p>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eastAsia="宋体" w:cs="宋体"/>
          <w:sz w:val="21"/>
          <w:szCs w:val="21"/>
          <w:highlight w:val="none"/>
        </w:rPr>
        <w:t>每月根据采购人各部门上个月实际使用的桶装水的饮用数量进行结算，成交供应商支付款要明确须</w:t>
      </w:r>
      <w:r>
        <w:rPr>
          <w:rFonts w:hint="eastAsia" w:ascii="宋体" w:hAnsi="宋体" w:cs="宋体"/>
          <w:sz w:val="21"/>
          <w:szCs w:val="21"/>
          <w:highlight w:val="none"/>
          <w:lang w:val="en-US" w:eastAsia="zh-CN"/>
        </w:rPr>
        <w:t>向</w:t>
      </w:r>
      <w:r>
        <w:rPr>
          <w:rFonts w:hint="eastAsia" w:ascii="宋体" w:hAnsi="宋体" w:cs="宋体"/>
          <w:szCs w:val="21"/>
          <w:highlight w:val="none"/>
        </w:rPr>
        <w:t>监狱机关与广东省向荣企业公司</w:t>
      </w:r>
      <w:r>
        <w:rPr>
          <w:rFonts w:hint="eastAsia" w:ascii="宋体" w:hAnsi="宋体" w:cs="宋体"/>
          <w:szCs w:val="21"/>
          <w:highlight w:val="none"/>
          <w:lang w:val="en-US" w:eastAsia="zh-CN"/>
        </w:rPr>
        <w:t>分别</w:t>
      </w:r>
      <w:r>
        <w:rPr>
          <w:rFonts w:hint="eastAsia" w:ascii="宋体" w:hAnsi="宋体" w:eastAsia="宋体" w:cs="宋体"/>
          <w:sz w:val="21"/>
          <w:szCs w:val="21"/>
          <w:highlight w:val="none"/>
        </w:rPr>
        <w:t>提供正式发票按实际结算。</w:t>
      </w:r>
    </w:p>
    <w:p>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eastAsia="宋体" w:cs="Tahoma"/>
          <w:b/>
          <w:bCs/>
          <w:color w:val="auto"/>
          <w:kern w:val="0"/>
          <w:sz w:val="21"/>
          <w:szCs w:val="21"/>
          <w:lang w:val="en-US" w:eastAsia="zh-CN" w:bidi="ar-SA"/>
        </w:rPr>
        <w:t>四、</w:t>
      </w:r>
      <w:r>
        <w:rPr>
          <w:rFonts w:hint="eastAsia" w:ascii="宋体" w:hAnsi="宋体" w:cs="Tahoma"/>
          <w:b/>
          <w:bCs/>
          <w:color w:val="auto"/>
          <w:kern w:val="0"/>
          <w:sz w:val="21"/>
          <w:szCs w:val="21"/>
          <w:highlight w:val="none"/>
          <w:lang w:val="en-US" w:eastAsia="zh-CN"/>
        </w:rPr>
        <w:t>送货要求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1.配送区域主要为白云区石潭路376号大院（含监管区、办公区、备勤区），成交供应商必须了解和熟悉采购人的办公场所，确保监管区、办公区、备勤区24小时桶装水供应。</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2.成交供应商在送水时间内接到用户电话通知后一个小时内将桶装饮用水送到指定地点。</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3.投标人要有合法的经营场所，证件齐全。具备经营所需的《工商营业执照》、《食品经营许可证》、货物的《经销授权书》。</w:t>
      </w:r>
    </w:p>
    <w:p>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五、</w:t>
      </w:r>
      <w:r>
        <w:rPr>
          <w:rFonts w:hint="eastAsia" w:ascii="宋体" w:hAnsi="宋体" w:cs="Tahoma"/>
          <w:b/>
          <w:bCs/>
          <w:color w:val="auto"/>
          <w:kern w:val="0"/>
          <w:sz w:val="21"/>
          <w:szCs w:val="21"/>
          <w:highlight w:val="none"/>
        </w:rPr>
        <w:t>对响应供应商的管理服务要求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1.充电式电动抽水泵  由成交供应商免费提供（充电式电动抽水泵的数量暂定为20台，具体情况以实际数量为准）。</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2.若充电式电动抽水泵损坏时，供应商应保证无条件更换，人为因素破坏除外。（注：成交供应商必须自行熟悉货物配送区域的桶装饮用水存放位置）</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3.成交供应商所用水桶必须是达到卫生要求的PC桶，桶表面保持洁净无垢，商标清晰、规范，桶装饮用水有外包装袋。凡因水或桶的质量问题出现用户投诉，经查证后属实扣罚200元/次。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4.成交供应商须每半年提供由国家认定的第三方检测机构出具的当前所供货物的检测合格报告。</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5.水桶无押金，空桶由成交供应商自行负责，采购人不承担任何责任。</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6.如果成交供应商提供的桶装水出现质量问题，则必须马上停止供应该品牌桶装水，并提供同档次合格的桶装水替代。若一经查实确为水质量问题，采购人有权终止合同，并保留依法追求其责任的权利。如因产品质量所造成的损失全部由供应商承担。</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7.送水员工的工资、日常生活饮食、起居用房、运输工具等所有费用由成交供应商负责提供和管理。</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8.成交供应商要严格执行采购人消防和用电安全等方面的规定。</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9.成交供应商要加强对送水员工的日常安全教育与安全管理，避免任何安全事故的发生。因管理不善而造成人身或设备损坏，成交供应商应承担全部责任。</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10.水桶的日常管理由成交供应商负责，采购人协调管理并提供水桶储藏间。</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11.按要求及时提交采购人需索取的各类有效证明及产品质量检测报告。（各项检测项目的检测方法均应符合国家、行业现行有关检测标准和规范的规定）</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12.提供货物辨别真假的鉴定方法或指引。</w:t>
      </w:r>
    </w:p>
    <w:p>
      <w:pPr>
        <w:keepNext w:val="0"/>
        <w:keepLines w:val="0"/>
        <w:pageBreakBefore w:val="0"/>
        <w:widowControl/>
        <w:numPr>
          <w:ilvl w:val="0"/>
          <w:numId w:val="0"/>
        </w:numPr>
        <w:kinsoku/>
        <w:wordWrap/>
        <w:overflowPunct/>
        <w:topLinePunct w:val="0"/>
        <w:autoSpaceDE/>
        <w:autoSpaceDN/>
        <w:bidi w:val="0"/>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六、质量保证与售后服务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 提供所报货物必须是厂商原装的、全新的、型号、性能及指标符合或优于国家标准的有关技术、质量、安全标准、要求的货物（响应供应商必须标明货物的品牌、型号及规格等相关详细资料），如实际供货与所报货物不符，采购人有权拒收，并要求成交供应商重新提供与所报相符货物，因此造成的所有经济损失由成交供应商负责。</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2.在桶装水保质期内非因采购方的人为原因而出现质量问题，由供方负责包换、包退，并承担调换或退货的实际费用。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 成交供应商应提供“售后服务承诺函”。</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4.质量要求：所提供的桶装水符合国家标准，并经抽检合格。</w:t>
      </w:r>
    </w:p>
    <w:p>
      <w:pPr>
        <w:keepNext w:val="0"/>
        <w:keepLines w:val="0"/>
        <w:pageBreakBefore w:val="0"/>
        <w:widowControl/>
        <w:numPr>
          <w:ilvl w:val="0"/>
          <w:numId w:val="0"/>
        </w:numPr>
        <w:kinsoku/>
        <w:wordWrap/>
        <w:overflowPunct/>
        <w:topLinePunct w:val="0"/>
        <w:autoSpaceDE/>
        <w:autoSpaceDN/>
        <w:bidi w:val="0"/>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七、履约保证金</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成交供应商在签订合同前须向采购人缴交履约保证金为人民币10000.00元。若出现下列情况之一者，履约保证金将被处罚没收。</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1、供应商销售桶装水不符合国家检验标准。</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2、供应商未能按照采购人要求供应桶装水，或未能按照采购人要求进行管理，经书面警告仍不改正。</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3、供应商服务期内，将采购人提供的水桶储藏间转租给他人或挪为他用。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4、在服务期满后15个工作日内，无任何拖欠费用采购人将退还履约保证金给供应商。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八、</w:t>
      </w:r>
      <w:r>
        <w:rPr>
          <w:rFonts w:hint="eastAsia" w:ascii="宋体" w:hAnsi="宋体" w:cs="Tahoma"/>
          <w:b/>
          <w:bCs/>
          <w:color w:val="auto"/>
          <w:kern w:val="0"/>
          <w:sz w:val="21"/>
          <w:szCs w:val="21"/>
          <w:highlight w:val="none"/>
        </w:rPr>
        <w:t>报价及其他情况说明</w:t>
      </w:r>
    </w:p>
    <w:p>
      <w:pPr>
        <w:pStyle w:val="35"/>
        <w:widowControl/>
        <w:numPr>
          <w:ilvl w:val="0"/>
          <w:numId w:val="15"/>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pPr>
        <w:pStyle w:val="35"/>
        <w:widowControl/>
        <w:numPr>
          <w:ilvl w:val="0"/>
          <w:numId w:val="15"/>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pPr>
        <w:rPr>
          <w:rFonts w:hint="eastAsia"/>
          <w:color w:val="auto"/>
          <w:highlight w:val="none"/>
        </w:rPr>
      </w:pPr>
      <w:r>
        <w:rPr>
          <w:rFonts w:hint="eastAsia"/>
          <w:color w:val="auto"/>
          <w:highlight w:val="none"/>
        </w:rPr>
        <w:br w:type="page"/>
      </w:r>
    </w:p>
    <w:p>
      <w:pPr>
        <w:pStyle w:val="18"/>
        <w:spacing w:before="0" w:after="0"/>
        <w:rPr>
          <w:rFonts w:hint="eastAsia"/>
          <w:color w:val="auto"/>
          <w:highlight w:val="none"/>
        </w:rPr>
      </w:pPr>
      <w:r>
        <w:rPr>
          <w:rFonts w:hint="eastAsia"/>
          <w:color w:val="auto"/>
          <w:highlight w:val="none"/>
        </w:rPr>
        <w:t>第四章 报价附件</w:t>
      </w:r>
    </w:p>
    <w:p>
      <w:pPr>
        <w:jc w:val="center"/>
        <w:rPr>
          <w:rFonts w:ascii="宋体" w:hAnsi="宋体" w:cs="宋体"/>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szCs w:val="21"/>
          <w:highlight w:val="none"/>
        </w:rPr>
      </w:pPr>
      <w:r>
        <w:rPr>
          <w:rFonts w:ascii="宋体" w:hAnsi="宋体" w:cs="宋体"/>
          <w:szCs w:val="21"/>
          <w:highlight w:val="none"/>
        </w:rPr>
        <w:t>致</w:t>
      </w:r>
      <w:r>
        <w:rPr>
          <w:rFonts w:hint="eastAsia" w:ascii="宋体" w:hAnsi="宋体" w:cs="宋体"/>
          <w:szCs w:val="21"/>
          <w:highlight w:val="none"/>
          <w:u w:val="single"/>
          <w:lang w:val="en-US" w:eastAsia="zh-CN"/>
        </w:rPr>
        <w:t>广东省未成年犯管教所/广东省机电设备招标有限公司</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在研究了</w:t>
      </w:r>
      <w:r>
        <w:rPr>
          <w:rFonts w:hint="eastAsia" w:ascii="宋体" w:hAnsi="宋体" w:cs="宋体"/>
          <w:szCs w:val="21"/>
          <w:highlight w:val="none"/>
          <w:lang w:val="en-US" w:eastAsia="zh-CN"/>
        </w:rPr>
        <w:t>广东省未成年犯管教所广东省未成年犯管教所、向荣企业公司2024-2026年桶装（瓶装）水采购项目</w:t>
      </w:r>
      <w:r>
        <w:rPr>
          <w:rFonts w:hint="eastAsia" w:ascii="宋体" w:hAnsi="宋体" w:cs="宋体"/>
          <w:szCs w:val="21"/>
          <w:highlight w:val="none"/>
        </w:rPr>
        <w:t>的询价函，并了解项目基本情况后，我方愿参考《广东省国土资源厅 广东省财政厅关于印发《广东省垦造水田</w:t>
      </w:r>
      <w:r>
        <w:rPr>
          <w:rFonts w:hint="eastAsia" w:ascii="宋体" w:hAnsi="宋体" w:cs="宋体"/>
          <w:szCs w:val="21"/>
          <w:highlight w:val="none"/>
          <w:lang w:eastAsia="zh-CN"/>
        </w:rPr>
        <w:t>项目</w:t>
      </w:r>
      <w:r>
        <w:rPr>
          <w:rFonts w:hint="eastAsia" w:ascii="宋体" w:hAnsi="宋体" w:cs="宋体"/>
          <w:szCs w:val="21"/>
          <w:highlight w:val="none"/>
        </w:rPr>
        <w:t>预算编制指南(试行)》的通知》（粤国土资耕保发[2018]118号）的有关规定</w:t>
      </w:r>
      <w:r>
        <w:rPr>
          <w:rFonts w:hint="eastAsia" w:ascii="宋体" w:hAnsi="宋体" w:cs="宋体"/>
          <w:szCs w:val="21"/>
          <w:highlight w:val="none"/>
          <w:lang w:eastAsia="zh-CN"/>
        </w:rPr>
        <w:t>，</w:t>
      </w:r>
      <w:r>
        <w:rPr>
          <w:rFonts w:hint="eastAsia" w:ascii="宋体" w:hAnsi="宋体" w:cs="宋体"/>
          <w:szCs w:val="21"/>
          <w:highlight w:val="none"/>
        </w:rPr>
        <w:t>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%折扣率对</w:t>
      </w:r>
      <w:r>
        <w:rPr>
          <w:rFonts w:hint="eastAsia"/>
          <w:color w:val="auto"/>
          <w:highlight w:val="none"/>
          <w:lang w:eastAsia="zh-CN"/>
        </w:rPr>
        <w:t>广东省未成年犯管教所、向荣企业公司2024-2026年桶装（瓶装）水采购项目</w:t>
      </w:r>
      <w:r>
        <w:rPr>
          <w:rFonts w:hint="eastAsia" w:ascii="宋体" w:hAnsi="宋体" w:cs="宋体"/>
          <w:szCs w:val="21"/>
          <w:highlight w:val="none"/>
        </w:rPr>
        <w:t>进行投标报价（含增值税）。我单位承诺按上述询价函要求承担该项工作。</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2.如果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lang w:eastAsia="zh-CN"/>
        </w:rPr>
        <w:t>贵司</w:t>
      </w:r>
      <w:r>
        <w:rPr>
          <w:rFonts w:ascii="宋体" w:hAnsi="宋体" w:cs="宋体"/>
          <w:szCs w:val="21"/>
          <w:highlight w:val="none"/>
        </w:rPr>
        <w:t>的要求</w:t>
      </w:r>
      <w:r>
        <w:rPr>
          <w:rFonts w:hint="eastAsia" w:ascii="宋体" w:hAnsi="宋体" w:cs="宋体"/>
          <w:szCs w:val="21"/>
          <w:highlight w:val="none"/>
        </w:rPr>
        <w:t>，保质保量地完成业主委托的事项</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3.如果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rPr>
        <w:t>招投标相关</w:t>
      </w:r>
      <w:r>
        <w:rPr>
          <w:rFonts w:ascii="宋体" w:hAnsi="宋体" w:cs="宋体"/>
          <w:szCs w:val="21"/>
          <w:highlight w:val="none"/>
        </w:rPr>
        <w:t>文件承诺的人员及各项资源配置或</w:t>
      </w:r>
      <w:r>
        <w:rPr>
          <w:rFonts w:hint="eastAsia" w:ascii="宋体" w:hAnsi="宋体" w:cs="宋体"/>
          <w:szCs w:val="21"/>
          <w:highlight w:val="none"/>
          <w:lang w:eastAsia="zh-CN"/>
        </w:rPr>
        <w:t>贵司</w:t>
      </w:r>
      <w:r>
        <w:rPr>
          <w:rFonts w:ascii="宋体" w:hAnsi="宋体" w:cs="宋体"/>
          <w:szCs w:val="21"/>
          <w:highlight w:val="none"/>
        </w:rPr>
        <w:t>提出的要求投入</w:t>
      </w:r>
      <w:r>
        <w:rPr>
          <w:rFonts w:hint="eastAsia" w:ascii="宋体" w:hAnsi="宋体" w:cs="宋体"/>
          <w:szCs w:val="21"/>
          <w:highlight w:val="none"/>
        </w:rPr>
        <w:t>招标服务</w:t>
      </w:r>
      <w:r>
        <w:rPr>
          <w:rFonts w:ascii="宋体" w:hAnsi="宋体" w:cs="宋体"/>
          <w:szCs w:val="21"/>
          <w:highlight w:val="none"/>
        </w:rPr>
        <w:t>工作中。</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4.如果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将保证接受</w:t>
      </w:r>
      <w:r>
        <w:rPr>
          <w:rFonts w:hint="eastAsia" w:ascii="宋体" w:hAnsi="宋体" w:cs="宋体"/>
          <w:szCs w:val="21"/>
          <w:highlight w:val="none"/>
          <w:lang w:eastAsia="zh-CN"/>
        </w:rPr>
        <w:t>贵司</w:t>
      </w:r>
      <w:r>
        <w:rPr>
          <w:rFonts w:ascii="宋体" w:hAnsi="宋体" w:cs="宋体"/>
          <w:szCs w:val="21"/>
          <w:highlight w:val="none"/>
        </w:rPr>
        <w:t>的监督和管理，</w:t>
      </w:r>
      <w:r>
        <w:rPr>
          <w:rFonts w:hint="eastAsia" w:ascii="宋体" w:hAnsi="宋体" w:cs="宋体"/>
          <w:szCs w:val="21"/>
          <w:highlight w:val="none"/>
        </w:rPr>
        <w:t>为业主提供优质的服务。</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eastAsia="zh-CN"/>
        </w:rPr>
        <w:t>我司</w:t>
      </w:r>
      <w:r>
        <w:rPr>
          <w:rFonts w:ascii="宋体" w:hAnsi="宋体" w:cs="宋体"/>
          <w:szCs w:val="21"/>
          <w:highlight w:val="none"/>
        </w:rPr>
        <w:t>同意严格遵守本</w:t>
      </w:r>
      <w:r>
        <w:rPr>
          <w:rFonts w:hint="eastAsia" w:ascii="宋体" w:hAnsi="宋体" w:cs="宋体"/>
          <w:szCs w:val="21"/>
          <w:highlight w:val="none"/>
          <w:lang w:val="en-US" w:eastAsia="zh-CN"/>
        </w:rPr>
        <w:t>报价</w:t>
      </w:r>
      <w:r>
        <w:rPr>
          <w:rFonts w:ascii="宋体" w:hAnsi="宋体" w:cs="宋体"/>
          <w:szCs w:val="21"/>
          <w:highlight w:val="none"/>
        </w:rPr>
        <w:t>函的各项承诺。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6.在</w:t>
      </w:r>
      <w:r>
        <w:rPr>
          <w:rFonts w:hint="eastAsia" w:ascii="宋体" w:hAnsi="宋体" w:cs="宋体"/>
          <w:szCs w:val="21"/>
          <w:highlight w:val="none"/>
        </w:rPr>
        <w:t>招标</w:t>
      </w:r>
      <w:r>
        <w:rPr>
          <w:rFonts w:hint="eastAsia" w:ascii="宋体" w:hAnsi="宋体" w:cs="宋体"/>
          <w:szCs w:val="21"/>
          <w:highlight w:val="none"/>
          <w:lang w:val="en-US" w:eastAsia="zh-CN"/>
        </w:rPr>
        <w:t>代理</w:t>
      </w:r>
      <w:r>
        <w:rPr>
          <w:rFonts w:hint="eastAsia" w:ascii="宋体" w:hAnsi="宋体" w:cs="宋体"/>
          <w:szCs w:val="21"/>
          <w:highlight w:val="none"/>
        </w:rPr>
        <w:t>服务协议</w:t>
      </w:r>
      <w:r>
        <w:rPr>
          <w:rFonts w:ascii="宋体" w:hAnsi="宋体" w:cs="宋体"/>
          <w:szCs w:val="21"/>
          <w:highlight w:val="none"/>
        </w:rPr>
        <w:t>正式签署生效之前，本</w:t>
      </w:r>
      <w:r>
        <w:rPr>
          <w:rFonts w:hint="eastAsia" w:ascii="宋体" w:hAnsi="宋体" w:cs="宋体"/>
          <w:szCs w:val="21"/>
          <w:highlight w:val="none"/>
          <w:lang w:val="en-US" w:eastAsia="zh-CN"/>
        </w:rPr>
        <w:t>报价</w:t>
      </w:r>
      <w:r>
        <w:rPr>
          <w:rFonts w:ascii="宋体" w:hAnsi="宋体" w:cs="宋体"/>
          <w:szCs w:val="21"/>
          <w:highlight w:val="none"/>
        </w:rPr>
        <w:t>函连同</w:t>
      </w:r>
      <w:r>
        <w:rPr>
          <w:rFonts w:hint="eastAsia" w:ascii="宋体" w:hAnsi="宋体" w:cs="宋体"/>
          <w:szCs w:val="21"/>
          <w:highlight w:val="none"/>
          <w:lang w:eastAsia="zh-CN"/>
        </w:rPr>
        <w:t>贵司</w:t>
      </w:r>
      <w:r>
        <w:rPr>
          <w:rFonts w:ascii="宋体" w:hAnsi="宋体" w:cs="宋体"/>
          <w:szCs w:val="21"/>
          <w:highlight w:val="none"/>
        </w:rPr>
        <w:t xml:space="preserve">的中标通知书将构成双方共同遵守的文件，对双方具有约束力。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sz w:val="24"/>
          <w:highlight w:val="none"/>
          <w:lang w:val="en-US" w:eastAsia="zh-CN"/>
        </w:rPr>
      </w:pPr>
      <w:r>
        <w:rPr>
          <w:rFonts w:ascii="宋体" w:hAnsi="宋体" w:cs="宋体"/>
          <w:szCs w:val="21"/>
          <w:highlight w:val="none"/>
        </w:rPr>
        <w:t>7.</w:t>
      </w:r>
      <w:r>
        <w:rPr>
          <w:rFonts w:hint="eastAsia" w:ascii="宋体" w:hAnsi="宋体" w:eastAsia="宋体" w:cs="宋体"/>
          <w:szCs w:val="21"/>
          <w:highlight w:val="none"/>
          <w:lang w:val="en-US" w:eastAsia="zh-CN"/>
        </w:rPr>
        <w:t>我司同意所提交的报价在询价文件规定的报价有效期内有效，在此期间内如果中选，我司将受此约束。</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w:t>
      </w:r>
      <w:r>
        <w:rPr>
          <w:rFonts w:ascii="宋体" w:hAnsi="宋体" w:cs="宋体"/>
          <w:szCs w:val="21"/>
          <w:highlight w:val="none"/>
          <w:u w:val="single"/>
        </w:rPr>
        <w:t xml:space="preserve">  （全称）        （盖章）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法定代表人或授权</w:t>
      </w:r>
      <w:r>
        <w:rPr>
          <w:rFonts w:hint="eastAsia" w:ascii="宋体" w:hAnsi="宋体" w:cs="宋体"/>
          <w:szCs w:val="21"/>
          <w:highlight w:val="none"/>
        </w:rPr>
        <w:t>服务</w:t>
      </w:r>
      <w:r>
        <w:rPr>
          <w:rFonts w:ascii="宋体" w:hAnsi="宋体" w:cs="宋体"/>
          <w:szCs w:val="21"/>
          <w:highlight w:val="none"/>
        </w:rPr>
        <w:t>人</w:t>
      </w:r>
      <w:r>
        <w:rPr>
          <w:rFonts w:ascii="宋体" w:hAnsi="宋体" w:cs="宋体"/>
          <w:szCs w:val="21"/>
          <w:highlight w:val="none"/>
          <w:u w:val="single"/>
        </w:rPr>
        <w:t>（职务）   （姓名）   （签字</w:t>
      </w:r>
      <w:r>
        <w:rPr>
          <w:rFonts w:hint="eastAsia" w:ascii="宋体" w:hAnsi="宋体" w:cs="宋体"/>
          <w:szCs w:val="21"/>
          <w:highlight w:val="none"/>
          <w:u w:val="single"/>
          <w:lang w:val="en-US" w:eastAsia="zh-CN"/>
        </w:rPr>
        <w:t>/签字章</w:t>
      </w:r>
      <w:r>
        <w:rPr>
          <w:rFonts w:ascii="宋体" w:hAnsi="宋体" w:cs="宋体"/>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人地址：</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szCs w:val="21"/>
          <w:highlight w:val="none"/>
        </w:rPr>
        <w:t>日期：</w:t>
      </w:r>
      <w:r>
        <w:rPr>
          <w:rFonts w:hint="eastAsia" w:ascii="宋体" w:hAnsi="宋体" w:cs="宋体"/>
          <w:szCs w:val="21"/>
          <w:highlight w:val="none"/>
          <w:lang w:val="en-US" w:eastAsia="zh-CN"/>
        </w:rPr>
        <w:t xml:space="preserve">  </w:t>
      </w:r>
      <w:r>
        <w:rPr>
          <w:rFonts w:ascii="宋体" w:hAnsi="宋体" w:cs="宋体"/>
          <w:szCs w:val="21"/>
          <w:highlight w:val="none"/>
        </w:rPr>
        <w:t>年</w:t>
      </w:r>
      <w:r>
        <w:rPr>
          <w:rFonts w:hint="eastAsia" w:ascii="宋体" w:hAnsi="宋体" w:cs="宋体"/>
          <w:szCs w:val="21"/>
          <w:highlight w:val="none"/>
          <w:lang w:val="en-US" w:eastAsia="zh-CN"/>
        </w:rPr>
        <w:t xml:space="preserve">   </w:t>
      </w:r>
      <w:r>
        <w:rPr>
          <w:rFonts w:ascii="宋体" w:hAnsi="宋体" w:cs="宋体"/>
          <w:szCs w:val="21"/>
          <w:highlight w:val="none"/>
        </w:rPr>
        <w:t>月</w:t>
      </w:r>
      <w:r>
        <w:rPr>
          <w:rFonts w:hint="eastAsia" w:ascii="宋体" w:hAnsi="宋体" w:cs="宋体"/>
          <w:szCs w:val="21"/>
          <w:highlight w:val="none"/>
          <w:lang w:val="en-US" w:eastAsia="zh-CN"/>
        </w:rPr>
        <w:t xml:space="preserve">   </w:t>
      </w:r>
      <w:r>
        <w:rPr>
          <w:rFonts w:ascii="宋体" w:hAnsi="宋体" w:cs="宋体"/>
          <w:szCs w:val="21"/>
          <w:highlight w:val="none"/>
        </w:rPr>
        <w:t>日</w:t>
      </w:r>
      <w:r>
        <w:rPr>
          <w:rFonts w:hint="eastAsia"/>
          <w:color w:val="auto"/>
          <w:highlight w:val="none"/>
        </w:rPr>
        <w:br w:type="page"/>
      </w:r>
    </w:p>
    <w:p>
      <w:pPr>
        <w:rPr>
          <w:highlight w:val="none"/>
        </w:rPr>
      </w:pPr>
    </w:p>
    <w:p>
      <w:pPr>
        <w:pStyle w:val="3"/>
        <w:spacing w:before="0" w:after="0"/>
        <w:jc w:val="center"/>
        <w:rPr>
          <w:color w:val="auto"/>
          <w:sz w:val="36"/>
          <w:szCs w:val="36"/>
          <w:highlight w:val="none"/>
          <w:lang w:val="zh-CN"/>
        </w:rPr>
      </w:pPr>
      <w:r>
        <w:rPr>
          <w:rFonts w:hint="eastAsia"/>
          <w:color w:val="auto"/>
          <w:highlight w:val="none"/>
          <w:lang w:val="zh-CN"/>
        </w:rPr>
        <w:t>报 价 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2084"/>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采购内容</w:t>
            </w:r>
          </w:p>
        </w:tc>
        <w:tc>
          <w:tcPr>
            <w:tcW w:w="1058" w:type="pct"/>
            <w:vAlign w:val="center"/>
          </w:tcPr>
          <w:p>
            <w:pPr>
              <w:spacing w:line="360" w:lineRule="exact"/>
              <w:ind w:left="0" w:leftChars="0" w:firstLine="0" w:firstLineChars="0"/>
              <w:jc w:val="center"/>
              <w:rPr>
                <w:rFonts w:hint="eastAsia" w:eastAsia="宋体" w:asciiTheme="minorEastAsia" w:hAnsiTheme="minorEastAsia"/>
                <w:b/>
                <w:color w:val="auto"/>
                <w:spacing w:val="4"/>
                <w:szCs w:val="21"/>
                <w:highlight w:val="none"/>
                <w:lang w:val="en-US" w:eastAsia="zh-CN"/>
              </w:rPr>
            </w:pPr>
            <w:r>
              <w:rPr>
                <w:rFonts w:hint="eastAsia" w:asciiTheme="minorEastAsia" w:hAnsiTheme="minorEastAsia"/>
                <w:b/>
                <w:color w:val="auto"/>
                <w:spacing w:val="4"/>
                <w:szCs w:val="21"/>
                <w:highlight w:val="none"/>
                <w:lang w:val="en-US" w:eastAsia="zh-CN"/>
              </w:rPr>
              <w:t>报价折扣率（%）</w:t>
            </w:r>
          </w:p>
        </w:tc>
        <w:tc>
          <w:tcPr>
            <w:tcW w:w="1156" w:type="pct"/>
            <w:vAlign w:val="center"/>
          </w:tcPr>
          <w:p>
            <w:pPr>
              <w:spacing w:line="360" w:lineRule="exact"/>
              <w:ind w:left="0" w:leftChars="0" w:firstLine="0" w:firstLineChars="0"/>
              <w:jc w:val="center"/>
              <w:rPr>
                <w:rFonts w:hint="eastAsia" w:eastAsia="宋体" w:asciiTheme="minorEastAsia" w:hAnsiTheme="minorEastAsia"/>
                <w:b/>
                <w:color w:val="auto"/>
                <w:spacing w:val="4"/>
                <w:szCs w:val="21"/>
                <w:highlight w:val="none"/>
                <w:lang w:eastAsia="zh-CN"/>
              </w:rPr>
            </w:pPr>
            <w:r>
              <w:rPr>
                <w:rFonts w:hint="eastAsia" w:asciiTheme="minorEastAsia" w:hAnsiTheme="minorEastAsia"/>
                <w:b/>
                <w:color w:val="auto"/>
                <w:spacing w:val="4"/>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宋体" w:hAnsi="宋体" w:cs="宋体"/>
                <w:color w:val="auto"/>
                <w:kern w:val="1"/>
                <w:szCs w:val="21"/>
                <w:highlight w:val="none"/>
                <w:lang w:val="zh-CN"/>
              </w:rPr>
              <w:t>广东省未成年犯管教所、向荣企业公司2024-2026年桶装（瓶装）水采购项目</w:t>
            </w:r>
          </w:p>
        </w:tc>
        <w:tc>
          <w:tcPr>
            <w:tcW w:w="1058" w:type="pct"/>
            <w:vAlign w:val="center"/>
          </w:tcPr>
          <w:p>
            <w:pPr>
              <w:spacing w:line="360" w:lineRule="exact"/>
              <w:ind w:left="0" w:leftChars="0" w:firstLine="0" w:firstLineChars="0"/>
              <w:jc w:val="center"/>
              <w:rPr>
                <w:rFonts w:asciiTheme="minorEastAsia" w:hAnsiTheme="minorEastAsia"/>
                <w:b/>
                <w:color w:val="auto"/>
                <w:spacing w:val="4"/>
                <w:szCs w:val="21"/>
                <w:highlight w:val="none"/>
              </w:rPr>
            </w:pPr>
          </w:p>
        </w:tc>
        <w:tc>
          <w:tcPr>
            <w:tcW w:w="1156" w:type="pct"/>
            <w:vAlign w:val="center"/>
          </w:tcPr>
          <w:p>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val="0"/>
                <w:bCs/>
                <w:color w:val="auto"/>
                <w:spacing w:val="4"/>
                <w:szCs w:val="21"/>
                <w:highlight w:val="none"/>
              </w:rPr>
              <w:t>此折扣率为四种规格货物的统一折扣率</w:t>
            </w:r>
          </w:p>
        </w:tc>
      </w:tr>
    </w:tbl>
    <w:p>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所有价格均系用人民币表示，单位为</w:t>
      </w:r>
      <w:r>
        <w:rPr>
          <w:rFonts w:hint="eastAsia" w:cs="Times New Roman"/>
          <w:b/>
          <w:color w:val="auto"/>
          <w:spacing w:val="4"/>
          <w:kern w:val="2"/>
          <w:sz w:val="21"/>
          <w:szCs w:val="21"/>
          <w:highlight w:val="none"/>
          <w:lang w:val="en-US" w:eastAsia="zh-CN"/>
        </w:rPr>
        <w:t>%</w:t>
      </w:r>
      <w:r>
        <w:rPr>
          <w:rFonts w:hint="eastAsia" w:cs="Times New Roman"/>
          <w:b/>
          <w:color w:val="auto"/>
          <w:spacing w:val="4"/>
          <w:kern w:val="2"/>
          <w:sz w:val="21"/>
          <w:szCs w:val="21"/>
          <w:highlight w:val="none"/>
        </w:rPr>
        <w:t>；</w:t>
      </w:r>
    </w:p>
    <w:p>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供应商对</w:t>
      </w:r>
      <w:r>
        <w:rPr>
          <w:rFonts w:hint="eastAsia" w:cs="Times New Roman"/>
          <w:b/>
          <w:color w:val="auto"/>
          <w:spacing w:val="4"/>
          <w:kern w:val="2"/>
          <w:sz w:val="21"/>
          <w:szCs w:val="21"/>
          <w:highlight w:val="none"/>
          <w:lang w:eastAsia="zh-CN"/>
        </w:rPr>
        <w:t>广东省未成年犯管教所、向荣企业公司2024-2026年桶装（瓶装）水采购项目</w:t>
      </w:r>
      <w:r>
        <w:rPr>
          <w:rFonts w:hint="eastAsia" w:cs="Times New Roman"/>
          <w:b/>
          <w:color w:val="auto"/>
          <w:spacing w:val="4"/>
          <w:kern w:val="2"/>
          <w:sz w:val="21"/>
          <w:szCs w:val="21"/>
          <w:highlight w:val="none"/>
        </w:rPr>
        <w:t>进行报价，且不得</w:t>
      </w:r>
      <w:r>
        <w:rPr>
          <w:rFonts w:hint="eastAsia" w:cs="Times New Roman"/>
          <w:b/>
          <w:color w:val="auto"/>
          <w:spacing w:val="4"/>
          <w:kern w:val="2"/>
          <w:sz w:val="21"/>
          <w:szCs w:val="21"/>
          <w:highlight w:val="none"/>
          <w:lang w:val="en-US" w:eastAsia="zh-CN"/>
        </w:rPr>
        <w:t>高于</w:t>
      </w:r>
      <w:r>
        <w:rPr>
          <w:rFonts w:hint="eastAsia" w:cs="Times New Roman"/>
          <w:b/>
          <w:color w:val="auto"/>
          <w:spacing w:val="4"/>
          <w:kern w:val="2"/>
          <w:sz w:val="21"/>
          <w:szCs w:val="21"/>
          <w:highlight w:val="none"/>
        </w:rPr>
        <w:t>最</w:t>
      </w:r>
      <w:r>
        <w:rPr>
          <w:rFonts w:hint="eastAsia" w:cs="Times New Roman"/>
          <w:b/>
          <w:color w:val="auto"/>
          <w:spacing w:val="4"/>
          <w:kern w:val="2"/>
          <w:sz w:val="21"/>
          <w:szCs w:val="21"/>
          <w:highlight w:val="none"/>
          <w:lang w:val="en-US" w:eastAsia="zh-CN"/>
        </w:rPr>
        <w:t>高</w:t>
      </w:r>
      <w:r>
        <w:rPr>
          <w:rFonts w:hint="eastAsia" w:cs="Times New Roman"/>
          <w:b/>
          <w:color w:val="auto"/>
          <w:spacing w:val="4"/>
          <w:kern w:val="2"/>
          <w:sz w:val="21"/>
          <w:szCs w:val="21"/>
          <w:highlight w:val="none"/>
        </w:rPr>
        <w:t>限价。该报价应包</w:t>
      </w:r>
      <w:r>
        <w:rPr>
          <w:rFonts w:hint="eastAsia" w:cs="Times New Roman"/>
          <w:b/>
          <w:color w:val="auto"/>
          <w:spacing w:val="4"/>
          <w:kern w:val="2"/>
          <w:sz w:val="21"/>
          <w:szCs w:val="21"/>
          <w:highlight w:val="none"/>
          <w:lang w:val="en-US" w:eastAsia="zh-CN"/>
        </w:rPr>
        <w:t>项目实施过程中</w:t>
      </w:r>
      <w:r>
        <w:rPr>
          <w:rFonts w:hint="eastAsia" w:cs="Times New Roman"/>
          <w:b/>
          <w:color w:val="auto"/>
          <w:spacing w:val="4"/>
          <w:kern w:val="2"/>
          <w:sz w:val="21"/>
          <w:szCs w:val="21"/>
          <w:highlight w:val="none"/>
        </w:rPr>
        <w:t>的全部费用。</w:t>
      </w:r>
    </w:p>
    <w:p>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通过报名的供应商应根据竞价文件要求，在规定的竞价时间内对采购项目进行报价，</w:t>
      </w:r>
      <w:r>
        <w:rPr>
          <w:rFonts w:hint="eastAsia" w:cs="Times New Roman"/>
          <w:b/>
          <w:color w:val="auto"/>
          <w:spacing w:val="4"/>
          <w:kern w:val="2"/>
          <w:sz w:val="21"/>
          <w:szCs w:val="21"/>
          <w:highlight w:val="none"/>
          <w:lang w:val="en-US" w:eastAsia="zh-CN"/>
        </w:rPr>
        <w:t>每次</w:t>
      </w:r>
      <w:r>
        <w:rPr>
          <w:rFonts w:hint="eastAsia" w:cs="Times New Roman"/>
          <w:b/>
          <w:color w:val="auto"/>
          <w:spacing w:val="4"/>
          <w:kern w:val="2"/>
          <w:sz w:val="21"/>
          <w:szCs w:val="21"/>
          <w:highlight w:val="none"/>
        </w:rPr>
        <w:t>报价时</w:t>
      </w:r>
      <w:r>
        <w:rPr>
          <w:rFonts w:hint="eastAsia" w:cs="Times New Roman"/>
          <w:b/>
          <w:color w:val="auto"/>
          <w:spacing w:val="4"/>
          <w:kern w:val="2"/>
          <w:sz w:val="21"/>
          <w:szCs w:val="21"/>
          <w:highlight w:val="none"/>
          <w:lang w:val="en-US" w:eastAsia="zh-CN"/>
        </w:rPr>
        <w:t>必须</w:t>
      </w:r>
      <w:r>
        <w:rPr>
          <w:rFonts w:hint="eastAsia" w:cs="Times New Roman"/>
          <w:b/>
          <w:color w:val="auto"/>
          <w:spacing w:val="4"/>
          <w:kern w:val="2"/>
          <w:sz w:val="21"/>
          <w:szCs w:val="21"/>
          <w:highlight w:val="none"/>
        </w:rPr>
        <w:t>提供印盖供应商公章的《报价表》，并对上传的响应文件资料承担责任</w:t>
      </w:r>
      <w:r>
        <w:rPr>
          <w:rFonts w:hint="eastAsia" w:cs="Times New Roman"/>
          <w:b/>
          <w:color w:val="auto"/>
          <w:spacing w:val="4"/>
          <w:kern w:val="2"/>
          <w:sz w:val="21"/>
          <w:szCs w:val="21"/>
          <w:highlight w:val="none"/>
          <w:lang w:eastAsia="zh-CN"/>
        </w:rPr>
        <w:t>，</w:t>
      </w:r>
      <w:r>
        <w:rPr>
          <w:rFonts w:hint="eastAsia" w:cs="Times New Roman"/>
          <w:b/>
          <w:color w:val="auto"/>
          <w:spacing w:val="4"/>
          <w:kern w:val="2"/>
          <w:sz w:val="21"/>
          <w:szCs w:val="21"/>
          <w:highlight w:val="none"/>
          <w:lang w:val="en-US" w:eastAsia="zh-CN"/>
        </w:rPr>
        <w:t>如未提供报价表或</w:t>
      </w:r>
      <w:r>
        <w:rPr>
          <w:rFonts w:hint="eastAsia" w:cs="Times New Roman"/>
          <w:b/>
          <w:color w:val="auto"/>
          <w:spacing w:val="4"/>
          <w:kern w:val="2"/>
          <w:sz w:val="21"/>
          <w:szCs w:val="21"/>
          <w:highlight w:val="none"/>
        </w:rPr>
        <w:t>报价表</w:t>
      </w:r>
      <w:r>
        <w:rPr>
          <w:rFonts w:hint="eastAsia" w:cs="Times New Roman"/>
          <w:b/>
          <w:color w:val="auto"/>
          <w:spacing w:val="4"/>
          <w:kern w:val="2"/>
          <w:sz w:val="21"/>
          <w:szCs w:val="21"/>
          <w:highlight w:val="none"/>
          <w:lang w:val="en-US" w:eastAsia="zh-CN"/>
        </w:rPr>
        <w:t>未</w:t>
      </w:r>
      <w:r>
        <w:rPr>
          <w:rFonts w:hint="eastAsia" w:cs="Times New Roman"/>
          <w:b/>
          <w:color w:val="auto"/>
          <w:spacing w:val="4"/>
          <w:kern w:val="2"/>
          <w:sz w:val="21"/>
          <w:szCs w:val="21"/>
          <w:highlight w:val="none"/>
        </w:rPr>
        <w:t>加盖单位公章，视为</w:t>
      </w:r>
      <w:r>
        <w:rPr>
          <w:rFonts w:hint="eastAsia" w:cs="Times New Roman"/>
          <w:b/>
          <w:color w:val="auto"/>
          <w:spacing w:val="4"/>
          <w:kern w:val="2"/>
          <w:sz w:val="21"/>
          <w:szCs w:val="21"/>
          <w:highlight w:val="none"/>
          <w:lang w:val="en-US" w:eastAsia="zh-CN"/>
        </w:rPr>
        <w:t>此次</w:t>
      </w:r>
      <w:r>
        <w:rPr>
          <w:rFonts w:hint="eastAsia" w:cs="Times New Roman"/>
          <w:b/>
          <w:color w:val="auto"/>
          <w:spacing w:val="4"/>
          <w:kern w:val="2"/>
          <w:sz w:val="21"/>
          <w:szCs w:val="21"/>
          <w:highlight w:val="none"/>
        </w:rPr>
        <w:t>报价无效。</w:t>
      </w:r>
    </w:p>
    <w:p>
      <w:pPr>
        <w:pStyle w:val="7"/>
        <w:numPr>
          <w:ilvl w:val="0"/>
          <w:numId w:val="16"/>
        </w:numPr>
        <w:shd w:val="clear" w:color="auto" w:fill="FFFFFF"/>
        <w:spacing w:before="0" w:beforeAutospacing="0" w:after="0" w:afterAutospacing="0" w:line="360" w:lineRule="auto"/>
        <w:ind w:left="0" w:firstLine="422" w:firstLineChars="200"/>
        <w:rPr>
          <w:rFonts w:cs="Times New Roman"/>
          <w:b/>
          <w:bCs/>
          <w:color w:val="auto"/>
          <w:spacing w:val="4"/>
          <w:kern w:val="2"/>
          <w:sz w:val="21"/>
          <w:szCs w:val="21"/>
          <w:highlight w:val="none"/>
        </w:rPr>
      </w:pPr>
      <w:r>
        <w:rPr>
          <w:rFonts w:hint="eastAsia"/>
          <w:b/>
          <w:bCs/>
          <w:highlight w:val="none"/>
          <w:lang w:val="en-US" w:eastAsia="zh-CN"/>
        </w:rPr>
        <w:t>报价计算方式：结算金额=成交折扣率×单价限价×实际采购数量</w:t>
      </w:r>
    </w:p>
    <w:p>
      <w:pPr>
        <w:spacing w:line="500" w:lineRule="exact"/>
        <w:ind w:firstLine="0"/>
        <w:rPr>
          <w:rFonts w:hint="default" w:eastAsia="宋体" w:asciiTheme="minorEastAsia" w:hAnsiTheme="minorEastAsia"/>
          <w:color w:val="auto"/>
          <w:spacing w:val="4"/>
          <w:szCs w:val="21"/>
          <w:highlight w:val="none"/>
          <w:lang w:val="en-US" w:eastAsia="zh-CN"/>
        </w:rPr>
      </w:pPr>
    </w:p>
    <w:p>
      <w:pPr>
        <w:spacing w:line="360" w:lineRule="auto"/>
        <w:rPr>
          <w:rFonts w:asciiTheme="minorEastAsia" w:hAnsiTheme="minorEastAsia"/>
          <w:color w:val="auto"/>
          <w:szCs w:val="21"/>
          <w:highlight w:val="none"/>
          <w:u w:val="single"/>
        </w:rPr>
      </w:pPr>
      <w:r>
        <w:rPr>
          <w:rFonts w:hint="eastAsia" w:asciiTheme="minorEastAsia" w:hAnsiTheme="minorEastAsia"/>
          <w:color w:val="auto"/>
          <w:spacing w:val="4"/>
          <w:szCs w:val="21"/>
          <w:highlight w:val="none"/>
        </w:rPr>
        <w:t>供应商名称（加</w:t>
      </w:r>
      <w:r>
        <w:rPr>
          <w:rFonts w:hint="eastAsia" w:asciiTheme="minorEastAsia" w:hAnsiTheme="minorEastAsia"/>
          <w:color w:val="auto"/>
          <w:szCs w:val="21"/>
          <w:highlight w:val="none"/>
        </w:rPr>
        <w:t>盖单位</w:t>
      </w:r>
      <w:r>
        <w:rPr>
          <w:rFonts w:hint="eastAsia" w:asciiTheme="minorEastAsia" w:hAnsiTheme="minorEastAsia"/>
          <w:color w:val="auto"/>
          <w:spacing w:val="4"/>
          <w:szCs w:val="21"/>
          <w:highlight w:val="none"/>
        </w:rPr>
        <w:t>公章）：</w:t>
      </w:r>
    </w:p>
    <w:p>
      <w:pPr>
        <w:widowControl/>
        <w:spacing w:line="360" w:lineRule="auto"/>
        <w:jc w:val="left"/>
        <w:rPr>
          <w:rFonts w:ascii="宋体" w:hAnsi="宋体" w:eastAsia="宋体" w:cs="Times New Roman"/>
          <w:b/>
          <w:bCs/>
          <w:color w:val="auto"/>
          <w:sz w:val="32"/>
          <w:szCs w:val="32"/>
          <w:highlight w:val="none"/>
        </w:rPr>
      </w:pPr>
      <w:r>
        <w:rPr>
          <w:rFonts w:hint="eastAsia" w:asciiTheme="minorEastAsia" w:hAnsiTheme="minorEastAsia"/>
          <w:color w:val="auto"/>
          <w:spacing w:val="4"/>
          <w:szCs w:val="21"/>
          <w:highlight w:val="none"/>
        </w:rPr>
        <w:t>日期：</w:t>
      </w:r>
      <w:r>
        <w:rPr>
          <w:rFonts w:ascii="宋体" w:hAnsi="宋体" w:eastAsia="宋体"/>
          <w:color w:val="auto"/>
          <w:highlight w:val="none"/>
        </w:rPr>
        <w:br w:type="page"/>
      </w:r>
    </w:p>
    <w:p>
      <w:pPr>
        <w:pStyle w:val="3"/>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广东省未成年犯管教所、向荣企业公司2024-2026年桶装（瓶装）水采购项目</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pPr>
        <w:pStyle w:val="35"/>
        <w:numPr>
          <w:ilvl w:val="0"/>
          <w:numId w:val="17"/>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35"/>
        <w:numPr>
          <w:ilvl w:val="0"/>
          <w:numId w:val="17"/>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before="156" w:beforeLines="50" w:line="360" w:lineRule="auto"/>
        <w:jc w:val="left"/>
        <w:rPr>
          <w:rFonts w:ascii="宋体" w:hAnsi="宋体"/>
          <w:b/>
          <w:bCs/>
          <w:color w:val="auto"/>
          <w:kern w:val="0"/>
          <w:sz w:val="32"/>
          <w:szCs w:val="32"/>
          <w:highlight w:val="non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pPr>
        <w:widowControl/>
        <w:spacing w:before="156" w:beforeLines="50" w:line="360" w:lineRule="auto"/>
        <w:ind w:firstLine="0"/>
        <w:jc w:val="left"/>
        <w:rPr>
          <w:rFonts w:ascii="宋体" w:hAnsi="宋体"/>
          <w:b/>
          <w:bCs/>
          <w:color w:val="auto"/>
          <w:kern w:val="0"/>
          <w:sz w:val="32"/>
          <w:szCs w:val="32"/>
          <w:highlight w:val="none"/>
          <w:lang w:val="zh-CN"/>
        </w:rPr>
      </w:pPr>
    </w:p>
    <w:p>
      <w:pPr>
        <w:pStyle w:val="3"/>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pPr>
        <w:pStyle w:val="10"/>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广东省未成年犯管教所、向荣企业公司2024-2026年桶装（瓶装）水采购项目</w:t>
      </w:r>
      <w:r>
        <w:rPr>
          <w:rFonts w:hint="eastAsia"/>
          <w:color w:val="auto"/>
          <w:sz w:val="21"/>
          <w:highlight w:val="none"/>
        </w:rPr>
        <w:t>的竞价采购活动，采购合同的签订、执行、完成和售后服务，作为供应商代表以我方的名义处理一切与之有关的事务。</w:t>
      </w:r>
    </w:p>
    <w:p>
      <w:pPr>
        <w:pStyle w:val="10"/>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pPr>
        <w:spacing w:before="156" w:beforeLines="50" w:line="360" w:lineRule="auto"/>
        <w:rPr>
          <w:rFonts w:ascii="宋体"/>
          <w:color w:val="auto"/>
          <w:szCs w:val="21"/>
          <w:highlight w:val="none"/>
        </w:rPr>
      </w:pPr>
      <w:r>
        <w:rPr>
          <w:rFonts w:hint="eastAsia" w:ascii="宋体"/>
          <w:color w:val="auto"/>
          <w:szCs w:val="21"/>
          <w:highlight w:val="none"/>
        </w:rPr>
        <w:t>地      址：</w:t>
      </w:r>
    </w:p>
    <w:p>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hAnsi="宋体"/>
          <w:color w:val="auto"/>
          <w:highlight w:val="none"/>
        </w:rPr>
      </w:pPr>
      <w:r>
        <w:rPr>
          <w:rFonts w:ascii="黑体" w:eastAsia="黑体"/>
          <w:color w:val="auto"/>
          <w:szCs w:val="21"/>
          <w:highlight w:val="none"/>
        </w:rPr>
        <w:br w:type="page"/>
      </w:r>
    </w:p>
    <w:p>
      <w:pPr>
        <w:pStyle w:val="3"/>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r>
        <w:rPr>
          <w:rFonts w:hint="eastAsia" w:ascii="宋体"/>
          <w:b/>
          <w:bCs/>
          <w:color w:val="auto"/>
          <w:highlight w:val="none"/>
        </w:rPr>
        <w:t xml:space="preserve">                         </w:t>
      </w: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pPr>
        <w:pStyle w:val="10"/>
        <w:jc w:val="center"/>
        <w:rPr>
          <w:rFonts w:hint="eastAsia"/>
          <w:highlight w:val="none"/>
        </w:rPr>
      </w:pPr>
      <w:r>
        <w:rPr>
          <w:rFonts w:hint="eastAsia" w:ascii="宋体" w:hAnsi="宋体" w:eastAsia="宋体" w:cs="宋体"/>
          <w:b/>
          <w:bCs/>
          <w:kern w:val="2"/>
          <w:sz w:val="32"/>
          <w:szCs w:val="32"/>
          <w:highlight w:val="none"/>
          <w:lang w:val="en-US" w:eastAsia="zh-CN" w:bidi="ar-SA"/>
        </w:rPr>
        <w:t>投标人认为有必要提交的其它文件</w:t>
      </w:r>
      <w:r>
        <w:rPr>
          <w:rFonts w:hint="eastAsia" w:hAnsi="宋体" w:cs="宋体"/>
          <w:b/>
          <w:bCs/>
          <w:kern w:val="2"/>
          <w:sz w:val="32"/>
          <w:szCs w:val="32"/>
          <w:highlight w:val="none"/>
          <w:lang w:val="en-US" w:eastAsia="zh-CN" w:bidi="ar-SA"/>
        </w:rPr>
        <w:t>（含营业执照等）</w:t>
      </w:r>
    </w:p>
    <w:p>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pPr>
        <w:spacing w:before="156" w:beforeLines="50" w:line="360" w:lineRule="auto"/>
        <w:ind w:firstLine="420" w:firstLineChars="200"/>
        <w:rPr>
          <w:rFonts w:hint="eastAsia" w:ascii="宋体" w:hAnsi="宋体" w:cs="宋体"/>
          <w:color w:val="auto"/>
          <w:szCs w:val="21"/>
          <w:highlight w:val="none"/>
        </w:rPr>
      </w:pPr>
    </w:p>
    <w:p>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pPr>
        <w:ind w:firstLine="643" w:firstLineChars="200"/>
        <w:jc w:val="center"/>
        <w:rPr>
          <w:rFonts w:ascii="宋体" w:hAnsi="宋体"/>
          <w:b/>
          <w:bCs/>
          <w:color w:val="auto"/>
          <w:kern w:val="0"/>
          <w:sz w:val="32"/>
          <w:szCs w:val="32"/>
          <w:highlight w:val="none"/>
        </w:rPr>
      </w:pP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highlight w:val="none"/>
          <w:lang w:eastAsia="zh-CN"/>
        </w:rPr>
        <w:t>（</w:t>
      </w:r>
      <w:r>
        <w:rPr>
          <w:rFonts w:hint="eastAsia"/>
          <w:highlight w:val="none"/>
          <w:lang w:val="en-US" w:eastAsia="zh-CN"/>
        </w:rPr>
        <w:t>仅供参考，具体以采购人确定的合同为准</w:t>
      </w:r>
      <w:r>
        <w:rPr>
          <w:rFonts w:hint="eastAsia"/>
          <w:highlight w:val="none"/>
          <w:lang w:eastAsia="zh-CN"/>
        </w:rPr>
        <w:t>）</w:t>
      </w:r>
    </w:p>
    <w:p>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pPr>
        <w:jc w:val="left"/>
        <w:rPr>
          <w:rFonts w:ascii="宋体" w:hAnsi="宋体"/>
          <w:color w:val="auto"/>
          <w:szCs w:val="21"/>
          <w:highlight w:val="none"/>
        </w:rPr>
      </w:pPr>
      <w:r>
        <w:rPr>
          <w:rFonts w:hint="eastAsia" w:ascii="宋体" w:hAnsi="宋体"/>
          <w:color w:val="auto"/>
          <w:szCs w:val="21"/>
          <w:highlight w:val="none"/>
        </w:rPr>
        <w:t>负责人：</w:t>
      </w:r>
    </w:p>
    <w:p>
      <w:pPr>
        <w:jc w:val="left"/>
        <w:rPr>
          <w:rFonts w:ascii="宋体" w:hAnsi="宋体"/>
          <w:color w:val="auto"/>
          <w:szCs w:val="21"/>
          <w:highlight w:val="none"/>
        </w:rPr>
      </w:pPr>
      <w:r>
        <w:rPr>
          <w:rFonts w:hint="eastAsia" w:ascii="宋体" w:hAnsi="宋体"/>
          <w:color w:val="auto"/>
          <w:szCs w:val="21"/>
          <w:highlight w:val="none"/>
        </w:rPr>
        <w:t>地址：</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pPr>
        <w:ind w:firstLine="420" w:firstLineChars="200"/>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pPr>
        <w:spacing w:line="360" w:lineRule="auto"/>
        <w:ind w:firstLine="420" w:firstLineChars="200"/>
        <w:rPr>
          <w:rFonts w:ascii="宋体" w:hAnsi="宋体" w:cs="宋体"/>
          <w:color w:val="auto"/>
          <w:szCs w:val="21"/>
          <w:highlight w:val="none"/>
        </w:rPr>
      </w:pP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广东省未成年犯管教所、向荣企业公司2024-2026年桶装（瓶装）水采购项目</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lang w:val="en-US" w:eastAsia="zh-CN"/>
              </w:rPr>
              <w:t>成交折扣率</w:t>
            </w:r>
            <w:r>
              <w:rPr>
                <w:rFonts w:hint="eastAsia" w:ascii="宋体" w:hAnsi="宋体"/>
                <w:b/>
                <w:color w:val="auto"/>
                <w:szCs w:val="21"/>
                <w:highlight w:val="none"/>
              </w:rPr>
              <w:t>（</w:t>
            </w:r>
            <w:r>
              <w:rPr>
                <w:rFonts w:hint="eastAsia" w:ascii="宋体" w:hAnsi="宋体"/>
                <w:b/>
                <w:color w:val="auto"/>
                <w:szCs w:val="21"/>
                <w:highlight w:val="none"/>
                <w:lang w:val="en-US" w:eastAsia="zh-CN"/>
              </w:rPr>
              <w:t>%</w:t>
            </w:r>
            <w:r>
              <w:rPr>
                <w:rFonts w:hint="eastAsia" w:ascii="宋体" w:hAnsi="宋体"/>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广东省未成年犯管教所、向荣企业公司2024-2026年桶装（瓶装）水采购项目</w:t>
            </w:r>
          </w:p>
        </w:tc>
        <w:tc>
          <w:tcPr>
            <w:tcW w:w="435"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pPr>
              <w:pStyle w:val="6"/>
              <w:spacing w:before="0" w:beforeLines="0" w:line="360" w:lineRule="exact"/>
              <w:ind w:firstLine="0" w:firstLineChars="0"/>
              <w:jc w:val="center"/>
              <w:rPr>
                <w:rFonts w:ascii="宋体" w:hAnsi="宋体"/>
                <w:bCs/>
                <w:color w:val="auto"/>
                <w:highlight w:val="none"/>
              </w:rPr>
            </w:pPr>
          </w:p>
        </w:tc>
      </w:tr>
    </w:tbl>
    <w:p>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lang w:val="en-US" w:eastAsia="zh-CN" w:bidi="ar-SA"/>
        </w:rPr>
      </w:pP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969"/>
        <w:gridCol w:w="2575"/>
        <w:gridCol w:w="31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05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
                <w:bCs w:val="0"/>
                <w:color w:val="auto"/>
                <w:szCs w:val="21"/>
                <w:highlight w:val="none"/>
                <w:lang w:eastAsia="zh-CN"/>
              </w:rPr>
            </w:pPr>
            <w:r>
              <w:rPr>
                <w:rFonts w:hint="eastAsia" w:ascii="宋体" w:hAnsi="宋体"/>
                <w:b/>
                <w:bCs w:val="0"/>
                <w:color w:val="auto"/>
                <w:szCs w:val="21"/>
                <w:highlight w:val="none"/>
                <w:lang w:eastAsia="zh-CN"/>
              </w:rPr>
              <w:t>供货清单</w:t>
            </w:r>
          </w:p>
        </w:tc>
        <w:tc>
          <w:tcPr>
            <w:tcW w:w="13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
                <w:bCs w:val="0"/>
                <w:color w:val="auto"/>
                <w:szCs w:val="21"/>
                <w:highlight w:val="none"/>
                <w:lang w:eastAsia="zh-CN"/>
              </w:rPr>
            </w:pPr>
            <w:r>
              <w:rPr>
                <w:rFonts w:hint="eastAsia" w:ascii="宋体" w:hAnsi="宋体"/>
                <w:b/>
                <w:bCs w:val="0"/>
                <w:color w:val="auto"/>
                <w:szCs w:val="21"/>
                <w:highlight w:val="none"/>
                <w:lang w:eastAsia="zh-CN"/>
              </w:rPr>
              <w:t>规格/单位</w:t>
            </w:r>
          </w:p>
        </w:tc>
        <w:tc>
          <w:tcPr>
            <w:tcW w:w="161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
                <w:bCs w:val="0"/>
                <w:color w:val="auto"/>
                <w:szCs w:val="21"/>
                <w:highlight w:val="none"/>
                <w:lang w:eastAsia="zh-CN"/>
              </w:rPr>
            </w:pPr>
            <w:r>
              <w:rPr>
                <w:rFonts w:hint="eastAsia" w:ascii="宋体" w:hAnsi="宋体"/>
                <w:b/>
                <w:bCs w:val="0"/>
                <w:color w:val="auto"/>
                <w:szCs w:val="21"/>
                <w:highlight w:val="none"/>
                <w:lang w:eastAsia="zh-CN"/>
              </w:rPr>
              <w:t>单价（元）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5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景田天然泉水</w:t>
            </w:r>
          </w:p>
        </w:tc>
        <w:tc>
          <w:tcPr>
            <w:tcW w:w="13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18.9L/桶</w:t>
            </w:r>
          </w:p>
        </w:tc>
        <w:tc>
          <w:tcPr>
            <w:tcW w:w="161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5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景田纯净水</w:t>
            </w:r>
          </w:p>
        </w:tc>
        <w:tc>
          <w:tcPr>
            <w:tcW w:w="13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4.6L/4支/箱</w:t>
            </w:r>
          </w:p>
        </w:tc>
        <w:tc>
          <w:tcPr>
            <w:tcW w:w="161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5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景田纯净水</w:t>
            </w:r>
          </w:p>
        </w:tc>
        <w:tc>
          <w:tcPr>
            <w:tcW w:w="13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560ML/24支/箱</w:t>
            </w:r>
          </w:p>
        </w:tc>
        <w:tc>
          <w:tcPr>
            <w:tcW w:w="161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5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景田百岁山矿泉水</w:t>
            </w:r>
          </w:p>
        </w:tc>
        <w:tc>
          <w:tcPr>
            <w:tcW w:w="13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348ML/24支/箱</w:t>
            </w:r>
          </w:p>
        </w:tc>
        <w:tc>
          <w:tcPr>
            <w:tcW w:w="161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line="360" w:lineRule="auto"/>
              <w:ind w:firstLine="0"/>
              <w:jc w:val="center"/>
              <w:textAlignment w:val="auto"/>
              <w:rPr>
                <w:rFonts w:hint="eastAsia" w:ascii="宋体" w:hAnsi="宋体"/>
                <w:bCs/>
                <w:color w:val="auto"/>
                <w:szCs w:val="21"/>
                <w:highlight w:val="no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1.</w:t>
      </w:r>
      <w:r>
        <w:rPr>
          <w:rFonts w:hint="eastAsia" w:ascii="宋体" w:hAnsi="宋体" w:eastAsia="宋体" w:cs="宋体"/>
          <w:b/>
          <w:sz w:val="21"/>
          <w:szCs w:val="21"/>
          <w:highlight w:val="none"/>
        </w:rPr>
        <w:t>采购内容及技术要求</w:t>
      </w:r>
    </w:p>
    <w:p>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全体在职（含广东省向荣企业公司）警察职工包装饮用水供应资格。成交供应商供货内容清单</w:t>
      </w:r>
      <w:r>
        <w:rPr>
          <w:rFonts w:hint="eastAsia" w:ascii="宋体" w:hAnsi="宋体" w:eastAsia="宋体" w:cs="宋体"/>
          <w:sz w:val="21"/>
          <w:szCs w:val="21"/>
          <w:lang w:eastAsia="zh-CN"/>
        </w:rPr>
        <w:t>：</w:t>
      </w:r>
    </w:p>
    <w:tbl>
      <w:tblPr>
        <w:tblStyle w:val="20"/>
        <w:tblW w:w="9580" w:type="dxa"/>
        <w:tblInd w:w="0" w:type="dxa"/>
        <w:tblLayout w:type="fixed"/>
        <w:tblCellMar>
          <w:top w:w="0" w:type="dxa"/>
          <w:left w:w="0" w:type="dxa"/>
          <w:bottom w:w="0" w:type="dxa"/>
          <w:right w:w="0" w:type="dxa"/>
        </w:tblCellMar>
      </w:tblPr>
      <w:tblGrid>
        <w:gridCol w:w="2789"/>
        <w:gridCol w:w="1809"/>
        <w:gridCol w:w="2193"/>
        <w:gridCol w:w="2789"/>
      </w:tblGrid>
      <w:tr>
        <w:tblPrEx>
          <w:tblCellMar>
            <w:top w:w="0" w:type="dxa"/>
            <w:left w:w="0" w:type="dxa"/>
            <w:bottom w:w="0" w:type="dxa"/>
            <w:right w:w="0" w:type="dxa"/>
          </w:tblCellMar>
        </w:tblPrEx>
        <w:trPr>
          <w:trHeight w:val="654" w:hRule="atLeast"/>
        </w:trPr>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供货清单</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规格/单位</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单价最高限价</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服务期限</w:t>
            </w:r>
          </w:p>
        </w:tc>
      </w:tr>
      <w:tr>
        <w:tblPrEx>
          <w:tblCellMar>
            <w:top w:w="0" w:type="dxa"/>
            <w:left w:w="0" w:type="dxa"/>
            <w:bottom w:w="0" w:type="dxa"/>
            <w:right w:w="0" w:type="dxa"/>
          </w:tblCellMar>
        </w:tblPrEx>
        <w:trPr>
          <w:trHeight w:val="654" w:hRule="atLeast"/>
        </w:trPr>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（元）</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景田天然泉水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18.9L/桶</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14.87</w:t>
            </w:r>
          </w:p>
        </w:tc>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自合同签订之日起2年</w:t>
            </w: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景田纯净水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4.6L/4支/箱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32.20</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54"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景田纯净水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560ML/24支/箱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29.87</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r>
        <w:tblPrEx>
          <w:tblCellMar>
            <w:top w:w="0" w:type="dxa"/>
            <w:left w:w="0" w:type="dxa"/>
            <w:bottom w:w="0" w:type="dxa"/>
            <w:right w:w="0" w:type="dxa"/>
          </w:tblCellMar>
        </w:tblPrEx>
        <w:trPr>
          <w:trHeight w:val="665"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景田百岁山矿泉水</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348ML/24支/箱</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ottom"/>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28.93</w:t>
            </w:r>
          </w:p>
        </w:tc>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注：</w:t>
      </w:r>
      <w:r>
        <w:rPr>
          <w:rFonts w:hint="eastAsia" w:ascii="宋体" w:hAnsi="宋体" w:cs="宋体"/>
          <w:kern w:val="2"/>
          <w:sz w:val="21"/>
          <w:szCs w:val="21"/>
          <w:lang w:val="en-US" w:eastAsia="zh-CN"/>
        </w:rPr>
        <w:t>（1）</w:t>
      </w:r>
      <w:r>
        <w:rPr>
          <w:rFonts w:hint="eastAsia" w:ascii="宋体" w:hAnsi="宋体" w:eastAsia="宋体" w:cs="宋体"/>
          <w:kern w:val="2"/>
          <w:sz w:val="21"/>
          <w:szCs w:val="21"/>
        </w:rPr>
        <w:t>单价包括单位货物的生产、包装、仓储、运输、保险以及验收、调换、售后服务、技术服务、质保期保障服务、税金等一切费用。</w:t>
      </w:r>
    </w:p>
    <w:p>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cs="Tahoma"/>
          <w:b/>
          <w:bCs/>
          <w:color w:val="auto"/>
          <w:kern w:val="0"/>
          <w:sz w:val="21"/>
          <w:szCs w:val="21"/>
          <w:lang w:val="en-US" w:eastAsia="zh-CN" w:bidi="ar-SA"/>
        </w:rPr>
        <w:t>2.</w:t>
      </w:r>
      <w:r>
        <w:rPr>
          <w:rFonts w:hint="eastAsia" w:ascii="宋体" w:hAnsi="宋体" w:cs="Tahoma"/>
          <w:b/>
          <w:bCs/>
          <w:color w:val="auto"/>
          <w:kern w:val="0"/>
          <w:sz w:val="21"/>
          <w:szCs w:val="21"/>
          <w:highlight w:val="none"/>
          <w:lang w:val="en-US" w:eastAsia="zh-CN"/>
        </w:rPr>
        <w:t>送货要求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（1）配送区域主要为白云区石潭路376号大院（含监管区、办公区、备勤区），成交供应商必须了解和熟悉采购人的办公场所，确保监管区、办公区、备勤区24小时桶装水供应。</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（2）成交供应商在送水时间内接到用户电话通知后一个小时内将桶装饮用水送到指定地点。</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（3）投标人要有合法的经营场所，证件齐全。具备经营所需的《工商营业执照》、《食品经营许可证》、货物的《经销授权书》。</w:t>
      </w:r>
    </w:p>
    <w:p>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3.</w:t>
      </w:r>
      <w:r>
        <w:rPr>
          <w:rFonts w:hint="eastAsia" w:ascii="宋体" w:hAnsi="宋体" w:cs="Tahoma"/>
          <w:b/>
          <w:bCs/>
          <w:color w:val="auto"/>
          <w:kern w:val="0"/>
          <w:sz w:val="21"/>
          <w:szCs w:val="21"/>
          <w:highlight w:val="none"/>
        </w:rPr>
        <w:t>对响应供应商的管理服务要求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（1）充电式电动抽水泵  由成交供应商免费提供（充电式电动抽水泵的数量暂定为20台，具体情况以实际数量为准）。</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（2）若充电式电动抽水泵损坏时，供应商应保证无条件更换，人为因素破坏除外。（注：成交供应商必须自行熟悉货物配送区域的桶装饮用水存放位置）</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（3）成交供应商所用水桶必须是达到卫生要求的PC桶，桶表面保持洁净无垢，商标清晰、规范，桶装饮用水有外包装袋。凡因水或桶的质量问题出现用户投诉，经查证后属实扣罚200元/次。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（4）成交供应商须每半年提供由国家认定的第三方检测机构出具的当前所供货物的检测合格报告。</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（5）水桶无押金，空桶由成交供应商自行负责，采购人不承担任何责任。</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6）如果成交供应商提供的桶装水出现质量问题，则必须马上停止供应该品牌桶装水，并提供同档次合格的桶装水替代。若一经查实确为水质量问题，采购人有权终止合同，并保留依法追求其责任的权利。如因产品质量所造成的损失全部由供应商承担。</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（7）送水员工的工资、日常生活饮食、起居用房、运输工具等所有费用由成交供应商负责提供和管理。</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（8）成交供应商要严格执行采购人消防和用电安全等方面的规定。</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（9）成交供应商要加强对送水员工的日常安全教育与安全管理，避免任何安全事故的发生。因管理不善而造成人身或设备损坏，成交供应商应承担全部责任。</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（10）水桶的日常管理由成交供应商负责，采购人协调管理并提供水桶储藏间。</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（11）按要求及时提交采购人需索取的各类有效证明及产品质量检测报告。（各项检测项目的检测方法均应符合国家、行业现行有关检测标准和规范的规定）</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（12）提供货物辨别真假的鉴定方法或指引。</w:t>
      </w:r>
    </w:p>
    <w:p>
      <w:pPr>
        <w:keepNext w:val="0"/>
        <w:keepLines w:val="0"/>
        <w:pageBreakBefore w:val="0"/>
        <w:widowControl/>
        <w:numPr>
          <w:ilvl w:val="0"/>
          <w:numId w:val="0"/>
        </w:numPr>
        <w:kinsoku/>
        <w:wordWrap/>
        <w:overflowPunct/>
        <w:topLinePunct w:val="0"/>
        <w:autoSpaceDE/>
        <w:autoSpaceDN/>
        <w:bidi w:val="0"/>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4.质量保证与售后服务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提供所报货物必须是厂商原装的、全新的、型号、性能及指标符合或优于国家标准的有关技术、质量、安全标准、要求的货物（响应供应商必须标明货物的品牌、型号及规格等相关详细资料），如实际供货与所报货物不符，采购人有权拒收，并要求成交供应商重新提供与所报相符货物，因此造成的所有经济损失由成交供应商负责。</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（2）在桶装水保质期内非因采购方的人为原因而出现质量问题，由供方负责包换、包退，并承担调换或退货的实际费用。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（3）成交供应商应提供“售后服务承诺函”。</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（4）质量要求：所提供的桶装水符合国家标准，并经抽检合格。</w:t>
      </w:r>
    </w:p>
    <w:p>
      <w:pPr>
        <w:numPr>
          <w:ilvl w:val="0"/>
          <w:numId w:val="0"/>
        </w:numPr>
        <w:tabs>
          <w:tab w:val="left" w:pos="420"/>
          <w:tab w:val="left" w:pos="540"/>
        </w:tabs>
        <w:spacing w:before="156" w:beforeLines="50" w:line="360" w:lineRule="auto"/>
        <w:ind w:left="0" w:leftChars="0" w:firstLine="420" w:firstLineChars="200"/>
        <w:rPr>
          <w:rFonts w:hint="eastAsia" w:ascii="宋体" w:hAnsi="宋体" w:eastAsia="宋体" w:cs="宋体"/>
          <w:b/>
          <w:bCs/>
          <w:color w:val="auto"/>
          <w:kern w:val="0"/>
          <w:sz w:val="21"/>
          <w:szCs w:val="21"/>
          <w:highlight w:val="none"/>
          <w:u w:val="none"/>
        </w:rPr>
      </w:pPr>
      <w:r>
        <w:rPr>
          <w:rFonts w:hint="eastAsia" w:ascii="宋体" w:hAnsi="宋体" w:cs="宋体"/>
          <w:kern w:val="2"/>
          <w:sz w:val="21"/>
          <w:szCs w:val="21"/>
          <w:lang w:val="en-US" w:eastAsia="zh-CN"/>
        </w:rPr>
        <w:t>（5）</w:t>
      </w:r>
      <w:r>
        <w:rPr>
          <w:rFonts w:hint="eastAsia" w:ascii="宋体" w:hAnsi="宋体" w:eastAsia="宋体" w:cs="宋体"/>
          <w:kern w:val="2"/>
          <w:sz w:val="21"/>
          <w:szCs w:val="21"/>
          <w:lang w:val="hr-HR"/>
        </w:rPr>
        <w:t>采购数量以实际需求量为准，货款结算按</w:t>
      </w:r>
      <w:r>
        <w:rPr>
          <w:rFonts w:hint="eastAsia" w:ascii="宋体" w:hAnsi="宋体" w:eastAsia="宋体" w:cs="宋体"/>
          <w:b/>
          <w:bCs/>
          <w:kern w:val="2"/>
          <w:sz w:val="21"/>
          <w:szCs w:val="21"/>
          <w:lang w:val="hr-HR"/>
        </w:rPr>
        <w:t>成交</w:t>
      </w:r>
      <w:r>
        <w:rPr>
          <w:rFonts w:hint="eastAsia" w:ascii="宋体" w:hAnsi="宋体" w:eastAsia="宋体" w:cs="宋体"/>
          <w:b/>
          <w:bCs/>
          <w:kern w:val="2"/>
          <w:sz w:val="21"/>
          <w:szCs w:val="21"/>
          <w:lang w:val="en-US" w:eastAsia="zh-CN"/>
        </w:rPr>
        <w:t>折扣率</w:t>
      </w:r>
      <w:r>
        <w:rPr>
          <w:rFonts w:hint="eastAsia" w:ascii="宋体" w:hAnsi="宋体" w:eastAsia="宋体" w:cs="宋体"/>
          <w:b/>
          <w:bCs/>
          <w:kern w:val="2"/>
          <w:sz w:val="21"/>
          <w:szCs w:val="21"/>
          <w:lang w:val="hr-HR"/>
        </w:rPr>
        <w:t>×</w:t>
      </w:r>
      <w:r>
        <w:rPr>
          <w:rFonts w:hint="eastAsia" w:ascii="宋体" w:hAnsi="宋体" w:eastAsia="宋体" w:cs="宋体"/>
          <w:b/>
          <w:bCs/>
          <w:kern w:val="2"/>
          <w:sz w:val="21"/>
          <w:szCs w:val="21"/>
          <w:lang w:val="en-US" w:eastAsia="zh-CN"/>
        </w:rPr>
        <w:t>单价最高限价</w:t>
      </w:r>
      <w:r>
        <w:rPr>
          <w:rFonts w:hint="eastAsia" w:ascii="宋体" w:hAnsi="宋体" w:eastAsia="宋体" w:cs="宋体"/>
          <w:b/>
          <w:bCs/>
          <w:kern w:val="2"/>
          <w:sz w:val="21"/>
          <w:szCs w:val="21"/>
          <w:lang w:val="hr-HR"/>
        </w:rPr>
        <w:t>×实际采购数量</w:t>
      </w:r>
      <w:r>
        <w:rPr>
          <w:rFonts w:hint="eastAsia" w:ascii="宋体" w:hAnsi="宋体" w:eastAsia="宋体" w:cs="宋体"/>
          <w:kern w:val="2"/>
          <w:sz w:val="21"/>
          <w:szCs w:val="21"/>
          <w:lang w:val="hr-HR"/>
        </w:rPr>
        <w:t>进行结算。</w:t>
      </w:r>
      <w:r>
        <w:rPr>
          <w:rFonts w:hint="eastAsia" w:ascii="宋体" w:hAnsi="宋体" w:eastAsia="宋体" w:cs="宋体"/>
          <w:kern w:val="2"/>
          <w:sz w:val="21"/>
          <w:szCs w:val="21"/>
        </w:rPr>
        <w:t>监狱机关结算资金来源为行政经费，广东省向荣企业公司结算资金为企业经费</w:t>
      </w:r>
      <w:r>
        <w:rPr>
          <w:rFonts w:hint="eastAsia" w:ascii="宋体" w:hAnsi="宋体" w:eastAsia="宋体" w:cs="宋体"/>
          <w:kern w:val="2"/>
          <w:sz w:val="21"/>
          <w:szCs w:val="21"/>
          <w:lang w:eastAsia="zh-CN"/>
        </w:rPr>
        <w:t>，</w:t>
      </w:r>
      <w:r>
        <w:rPr>
          <w:rFonts w:hint="eastAsia" w:ascii="宋体" w:hAnsi="宋体" w:eastAsia="宋体" w:cs="宋体"/>
          <w:kern w:val="2"/>
          <w:sz w:val="21"/>
          <w:szCs w:val="21"/>
          <w:highlight w:val="yellow"/>
        </w:rPr>
        <w:t>监狱机关</w:t>
      </w:r>
      <w:r>
        <w:rPr>
          <w:rFonts w:hint="eastAsia" w:ascii="宋体" w:hAnsi="宋体" w:cs="宋体"/>
          <w:kern w:val="2"/>
          <w:sz w:val="21"/>
          <w:szCs w:val="21"/>
          <w:highlight w:val="yellow"/>
          <w:lang w:val="en-US" w:eastAsia="zh-CN"/>
        </w:rPr>
        <w:t>与</w:t>
      </w:r>
      <w:r>
        <w:rPr>
          <w:rFonts w:hint="eastAsia" w:ascii="宋体" w:hAnsi="宋体" w:eastAsia="宋体" w:cs="宋体"/>
          <w:kern w:val="2"/>
          <w:sz w:val="21"/>
          <w:szCs w:val="21"/>
          <w:highlight w:val="yellow"/>
        </w:rPr>
        <w:t>广东省向荣企业公司</w:t>
      </w:r>
      <w:r>
        <w:rPr>
          <w:rFonts w:hint="eastAsia" w:ascii="宋体" w:hAnsi="宋体" w:cs="宋体"/>
          <w:kern w:val="2"/>
          <w:sz w:val="21"/>
          <w:szCs w:val="21"/>
          <w:highlight w:val="yellow"/>
          <w:lang w:val="en-US" w:eastAsia="zh-CN"/>
        </w:rPr>
        <w:t>采用以上结算方式分别结算</w:t>
      </w:r>
      <w:r>
        <w:rPr>
          <w:rFonts w:hint="eastAsia" w:ascii="宋体" w:hAnsi="宋体" w:eastAsia="宋体" w:cs="宋体"/>
          <w:kern w:val="2"/>
          <w:sz w:val="21"/>
          <w:szCs w:val="21"/>
        </w:rPr>
        <w:t>。</w:t>
      </w:r>
    </w:p>
    <w:p>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lang w:val="en-US" w:eastAsia="zh-CN" w:bidi="ar-SA"/>
        </w:rPr>
        <w:t>三</w:t>
      </w:r>
      <w:r>
        <w:rPr>
          <w:rFonts w:hint="eastAsia" w:ascii="宋体" w:hAnsi="宋体" w:eastAsia="宋体" w:cs="宋体"/>
          <w:b/>
          <w:bCs/>
          <w:color w:val="auto"/>
          <w:kern w:val="0"/>
          <w:sz w:val="21"/>
          <w:szCs w:val="21"/>
          <w:lang w:val="en-US" w:eastAsia="zh-CN" w:bidi="ar-SA"/>
        </w:rPr>
        <w:t>、</w:t>
      </w:r>
      <w:r>
        <w:rPr>
          <w:rFonts w:hint="eastAsia" w:ascii="宋体" w:hAnsi="宋体" w:eastAsia="宋体" w:cs="宋体"/>
          <w:b/>
          <w:bCs/>
          <w:color w:val="auto"/>
          <w:kern w:val="0"/>
          <w:sz w:val="21"/>
          <w:szCs w:val="21"/>
          <w:highlight w:val="none"/>
          <w:u w:val="none"/>
        </w:rPr>
        <w:t>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每月根据采购人各部门上个月实际使用的桶装水的饮用数量进行结算，成交供应商支付款要明确须向监狱机关与广东省向荣企业公司分别提供正式发票按实际结算。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成交供应商在签订合同前须向采购人缴交履约保证金为人民币10000.00元。若出现下列情况之一者，履约保证金将被处罚没收。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1、供应商销售桶装水不符合国家检验标准。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2、供应商未能按照采购人要求供应桶装水，或未能按照采购人要求进行管理，经书面警告仍不改正。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3、供应商服务期内，将采购人提供的水桶储藏间转租给他人或挪为他用。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4、在服务期满后15个工作日内，无任何拖欠费用采购人将无息退还履约保证金给供应商。</w:t>
      </w:r>
    </w:p>
    <w:p>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四</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甲方、乙方的权利和义务</w:t>
      </w:r>
    </w:p>
    <w:p>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（一）本合同价款包含的伴随服务，即乙方承担包括但不限于</w:t>
      </w:r>
      <w:r>
        <w:rPr>
          <w:rFonts w:hint="eastAsia" w:ascii="宋体" w:hAnsi="宋体" w:cs="宋体"/>
          <w:color w:val="auto"/>
          <w:szCs w:val="21"/>
          <w:highlight w:val="none"/>
          <w:lang w:eastAsia="zh-CN"/>
        </w:rPr>
        <w:t>广东省未成年犯管教所、向荣企业公司2024-2026年桶装（瓶装）水采购项目</w:t>
      </w:r>
      <w:r>
        <w:rPr>
          <w:rFonts w:hint="eastAsia" w:ascii="宋体" w:hAnsi="宋体" w:cs="宋体"/>
          <w:color w:val="auto"/>
          <w:szCs w:val="21"/>
          <w:highlight w:val="none"/>
        </w:rPr>
        <w:t>等和合同中规定乙方应承担的其他义务。</w:t>
      </w:r>
    </w:p>
    <w:p>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（二）乙方行为不得违反《关于推动构建新型政商关系的若干意见》的规定，一旦发现，甲方可立即终止合作，并对不廉洁的乙方及其负责人拉入“黑名单”，确保构建“亲”“清”新型警商关系。</w:t>
      </w:r>
    </w:p>
    <w:p>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（三）竞价文件为合同不可分割的一部分，其他未尽事宜以竞价文件为准。</w:t>
      </w:r>
    </w:p>
    <w:p>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（四）如乙方在合同执行过程需终止执行合同的，需提前六十天以书面形式告知甲方，否则按单方面终止执行合同处理，履约保证金不退还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造成损失的，要赔偿损失</w:t>
      </w:r>
      <w:r>
        <w:rPr>
          <w:rFonts w:hint="eastAsia" w:ascii="宋体" w:hAnsi="宋体" w:cs="宋体"/>
          <w:color w:val="auto"/>
          <w:szCs w:val="21"/>
          <w:highlight w:val="none"/>
        </w:rPr>
        <w:t>。如因甲方自身原因需终止执行合同的，需提前六十天以书面形式告知甲方，履约保证金不计利息予以全额退还。</w:t>
      </w:r>
    </w:p>
    <w:p>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五</w:t>
      </w:r>
      <w:r>
        <w:rPr>
          <w:rFonts w:hint="eastAsia" w:ascii="宋体" w:hAnsi="宋体" w:eastAsia="宋体" w:cs="宋体"/>
          <w:b/>
          <w:bCs/>
          <w:color w:val="auto"/>
          <w:kern w:val="2"/>
          <w:sz w:val="21"/>
          <w:szCs w:val="21"/>
          <w:lang w:val="en-US" w:eastAsia="zh-CN" w:bidi="ar-SA"/>
        </w:rPr>
        <w:t>、</w:t>
      </w:r>
      <w:r>
        <w:rPr>
          <w:rFonts w:hint="eastAsia" w:ascii="宋体" w:hAnsi="宋体"/>
          <w:b/>
          <w:bCs/>
          <w:color w:val="auto"/>
          <w:szCs w:val="21"/>
          <w:highlight w:val="none"/>
        </w:rPr>
        <w:t>保密</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六</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违约责任与赔偿损失</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rPr>
        <w:t>乙方提供的服务不符合本合同规定的，甲方有权拒收，并且乙方须向甲方支付本合同总价5%的违约金。</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（四）</w:t>
      </w:r>
      <w:r>
        <w:rPr>
          <w:rFonts w:hint="eastAsia" w:ascii="宋体" w:hAnsi="宋体" w:cs="仿宋"/>
          <w:color w:val="auto"/>
          <w:szCs w:val="21"/>
          <w:highlight w:val="none"/>
        </w:rPr>
        <w:t>乙方的行为不得违反广东省纪委近期发布的《关于推动构建新型政商关系的若干意见》的规定，一经发现甲方可立即终止合作，并对不廉洁的投标企业及其负责人拉入“黑名单”，确保构建“亲”“清”新型警商关系。</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（五）</w:t>
      </w:r>
      <w:r>
        <w:rPr>
          <w:rFonts w:ascii="宋体" w:hAnsi="宋体" w:cs="仿宋"/>
          <w:color w:val="auto"/>
          <w:szCs w:val="21"/>
          <w:highlight w:val="none"/>
        </w:rPr>
        <w:t>如</w:t>
      </w:r>
      <w:r>
        <w:rPr>
          <w:rFonts w:hint="eastAsia" w:ascii="宋体" w:hAnsi="宋体" w:cs="仿宋"/>
          <w:color w:val="auto"/>
          <w:szCs w:val="21"/>
          <w:highlight w:val="none"/>
        </w:rPr>
        <w:t>乙方</w:t>
      </w:r>
      <w:r>
        <w:rPr>
          <w:rFonts w:ascii="宋体" w:hAnsi="宋体" w:cs="仿宋"/>
          <w:color w:val="auto"/>
          <w:szCs w:val="21"/>
          <w:highlight w:val="none"/>
        </w:rPr>
        <w:t>不能正常履行合同或者拒绝提供部分</w:t>
      </w:r>
      <w:r>
        <w:rPr>
          <w:rFonts w:hint="eastAsia" w:ascii="宋体" w:hAnsi="宋体" w:cs="仿宋"/>
          <w:color w:val="auto"/>
          <w:szCs w:val="21"/>
          <w:highlight w:val="none"/>
        </w:rPr>
        <w:t>成交</w:t>
      </w:r>
      <w:r>
        <w:rPr>
          <w:rFonts w:ascii="宋体" w:hAnsi="宋体" w:cs="仿宋"/>
          <w:color w:val="auto"/>
          <w:szCs w:val="21"/>
          <w:highlight w:val="none"/>
        </w:rPr>
        <w:t>商品的，</w:t>
      </w:r>
      <w:r>
        <w:rPr>
          <w:rFonts w:hint="eastAsia" w:ascii="宋体" w:hAnsi="宋体" w:cs="仿宋"/>
          <w:color w:val="auto"/>
          <w:szCs w:val="21"/>
          <w:highlight w:val="none"/>
        </w:rPr>
        <w:t>发生第</w:t>
      </w:r>
      <w:r>
        <w:rPr>
          <w:rFonts w:ascii="宋体" w:hAnsi="宋体" w:cs="仿宋"/>
          <w:color w:val="auto"/>
          <w:szCs w:val="21"/>
          <w:highlight w:val="none"/>
        </w:rPr>
        <w:t>一次扣除</w:t>
      </w:r>
      <w:r>
        <w:rPr>
          <w:rFonts w:hint="eastAsia" w:ascii="宋体" w:hAnsi="宋体" w:cs="仿宋"/>
          <w:color w:val="auto"/>
          <w:szCs w:val="21"/>
          <w:highlight w:val="none"/>
        </w:rPr>
        <w:t>合同总价</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%的违约金</w:t>
      </w:r>
      <w:r>
        <w:rPr>
          <w:rFonts w:ascii="宋体" w:hAnsi="宋体" w:cs="仿宋"/>
          <w:color w:val="auto"/>
          <w:szCs w:val="21"/>
          <w:highlight w:val="none"/>
        </w:rPr>
        <w:t>，</w:t>
      </w:r>
      <w:r>
        <w:rPr>
          <w:rFonts w:hint="eastAsia" w:ascii="宋体" w:hAnsi="宋体" w:cs="仿宋"/>
          <w:color w:val="auto"/>
          <w:szCs w:val="21"/>
          <w:highlight w:val="none"/>
        </w:rPr>
        <w:t>发生第二</w:t>
      </w:r>
      <w:r>
        <w:rPr>
          <w:rFonts w:ascii="宋体" w:hAnsi="宋体" w:cs="仿宋"/>
          <w:color w:val="auto"/>
          <w:szCs w:val="21"/>
          <w:highlight w:val="none"/>
        </w:rPr>
        <w:t>次扣除</w:t>
      </w:r>
      <w:r>
        <w:rPr>
          <w:rFonts w:hint="eastAsia" w:ascii="宋体" w:hAnsi="宋体" w:cs="仿宋"/>
          <w:color w:val="auto"/>
          <w:szCs w:val="21"/>
          <w:highlight w:val="none"/>
        </w:rPr>
        <w:t>合同总价</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%的违约金</w:t>
      </w:r>
      <w:r>
        <w:rPr>
          <w:rFonts w:ascii="宋体" w:hAnsi="宋体" w:cs="仿宋"/>
          <w:color w:val="auto"/>
          <w:szCs w:val="21"/>
          <w:highlight w:val="none"/>
        </w:rPr>
        <w:t>，</w:t>
      </w:r>
      <w:r>
        <w:rPr>
          <w:rFonts w:hint="eastAsia" w:ascii="宋体" w:hAnsi="宋体" w:cs="仿宋"/>
          <w:color w:val="auto"/>
          <w:szCs w:val="21"/>
          <w:highlight w:val="none"/>
          <w:lang w:val="en-US" w:eastAsia="zh-CN"/>
        </w:rPr>
        <w:t>甲方有权从其他供应商购买，产品的相关费用和损失由乙方承担。</w:t>
      </w:r>
      <w:r>
        <w:rPr>
          <w:rFonts w:hint="eastAsia" w:ascii="宋体" w:hAnsi="宋体" w:cs="仿宋"/>
          <w:color w:val="auto"/>
          <w:szCs w:val="21"/>
          <w:highlight w:val="none"/>
        </w:rPr>
        <w:t>发生</w:t>
      </w:r>
      <w:r>
        <w:rPr>
          <w:rFonts w:ascii="宋体" w:hAnsi="宋体" w:cs="仿宋"/>
          <w:color w:val="auto"/>
          <w:szCs w:val="21"/>
          <w:highlight w:val="none"/>
        </w:rPr>
        <w:t>第</w:t>
      </w:r>
      <w:r>
        <w:rPr>
          <w:rFonts w:hint="eastAsia" w:ascii="宋体" w:hAnsi="宋体" w:cs="仿宋"/>
          <w:color w:val="auto"/>
          <w:szCs w:val="21"/>
          <w:highlight w:val="none"/>
        </w:rPr>
        <w:t>三</w:t>
      </w:r>
      <w:r>
        <w:rPr>
          <w:rFonts w:ascii="宋体" w:hAnsi="宋体" w:cs="仿宋"/>
          <w:color w:val="auto"/>
          <w:szCs w:val="21"/>
          <w:highlight w:val="none"/>
        </w:rPr>
        <w:t>次的甲方有权终止合同</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乙方负责承担终止合同所造成的损失</w:t>
      </w:r>
      <w:r>
        <w:rPr>
          <w:rFonts w:hint="eastAsia" w:ascii="宋体" w:hAnsi="宋体" w:cs="仿宋"/>
          <w:color w:val="auto"/>
          <w:szCs w:val="21"/>
          <w:highlight w:val="none"/>
        </w:rPr>
        <w:t>。</w:t>
      </w:r>
    </w:p>
    <w:p>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（六）</w:t>
      </w:r>
      <w:r>
        <w:rPr>
          <w:rFonts w:hint="eastAsia" w:ascii="宋体" w:hAnsi="宋体" w:cs="仿宋"/>
          <w:color w:val="auto"/>
          <w:szCs w:val="21"/>
          <w:highlight w:val="none"/>
        </w:rPr>
        <w:t>其它违约责任按《中华人民共和国民法典》处理。</w:t>
      </w:r>
    </w:p>
    <w:p>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七</w:t>
      </w:r>
      <w:r>
        <w:rPr>
          <w:rFonts w:hint="eastAsia" w:ascii="宋体" w:hAnsi="宋体" w:eastAsia="宋体" w:cs="宋体"/>
          <w:b/>
          <w:bCs/>
          <w:color w:val="auto"/>
          <w:kern w:val="2"/>
          <w:sz w:val="21"/>
          <w:szCs w:val="21"/>
          <w:lang w:val="en-US" w:eastAsia="zh-CN" w:bidi="ar-SA"/>
        </w:rPr>
        <w:t>、</w:t>
      </w:r>
      <w:r>
        <w:rPr>
          <w:rFonts w:hint="eastAsia" w:ascii="宋体" w:hAnsi="宋体"/>
          <w:b/>
          <w:bCs/>
          <w:color w:val="auto"/>
          <w:szCs w:val="21"/>
          <w:highlight w:val="none"/>
        </w:rPr>
        <w:t>争端的解决</w:t>
      </w:r>
    </w:p>
    <w:p>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八</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不可抗力：</w:t>
      </w:r>
    </w:p>
    <w:p>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九</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税费：</w:t>
      </w:r>
    </w:p>
    <w:p>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十</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合同生效</w:t>
      </w:r>
    </w:p>
    <w:p>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十一</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其它要求</w:t>
      </w:r>
    </w:p>
    <w:p>
      <w:pPr>
        <w:spacing w:line="360" w:lineRule="auto"/>
        <w:ind w:firstLine="0"/>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pPr>
        <w:pStyle w:val="6"/>
        <w:rPr>
          <w:rFonts w:ascii="宋体" w:hAnsi="宋体"/>
          <w:color w:val="auto"/>
          <w:highlight w:val="none"/>
        </w:rPr>
      </w:pPr>
    </w:p>
    <w:p>
      <w:pPr>
        <w:pStyle w:val="6"/>
        <w:rPr>
          <w:rFonts w:ascii="宋体" w:hAnsi="宋体"/>
          <w:color w:val="auto"/>
          <w:highlight w:val="none"/>
        </w:rPr>
      </w:pPr>
    </w:p>
    <w:p>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甲方（盖章）：                                乙方（盖章）：</w:t>
      </w:r>
    </w:p>
    <w:p>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 xml:space="preserve">代表：                                       代表： </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签定地点：</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开户名称：</w:t>
      </w:r>
    </w:p>
    <w:p>
      <w:pPr>
        <w:spacing w:before="156" w:beforeLines="50" w:line="360" w:lineRule="auto"/>
        <w:rPr>
          <w:rFonts w:ascii="宋体" w:hAnsi="宋体"/>
          <w:color w:val="auto"/>
          <w:szCs w:val="21"/>
          <w:highlight w:val="none"/>
        </w:rPr>
      </w:pPr>
      <w:r>
        <w:rPr>
          <w:rFonts w:hint="eastAsia" w:ascii="宋体" w:hAnsi="宋体"/>
          <w:color w:val="auto"/>
          <w:szCs w:val="21"/>
          <w:highlight w:val="none"/>
        </w:rPr>
        <w:t>银行账号：</w:t>
      </w:r>
    </w:p>
    <w:p>
      <w:pPr>
        <w:rPr>
          <w:color w:val="auto"/>
          <w:highlight w:val="none"/>
        </w:rPr>
      </w:pPr>
      <w:r>
        <w:rPr>
          <w:rFonts w:hint="eastAsia" w:ascii="宋体" w:hAnsi="宋体"/>
          <w:color w:val="auto"/>
          <w:highlight w:val="none"/>
        </w:rPr>
        <w:t>开 户 行</w:t>
      </w:r>
    </w:p>
    <w:p>
      <w:pPr>
        <w:pStyle w:val="6"/>
        <w:spacing w:before="156" w:beforeLines="50" w:line="360" w:lineRule="auto"/>
        <w:ind w:right="-993" w:rightChars="-473" w:firstLine="5250" w:firstLineChars="2500"/>
        <w:rPr>
          <w:rFonts w:ascii="宋体" w:hAnsi="宋体"/>
          <w:color w:val="auto"/>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10">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2C258CA"/>
    <w:multiLevelType w:val="singleLevel"/>
    <w:tmpl w:val="12C258CA"/>
    <w:lvl w:ilvl="0" w:tentative="0">
      <w:start w:val="1"/>
      <w:numFmt w:val="decimal"/>
      <w:suff w:val="nothing"/>
      <w:lvlText w:val="%1．"/>
      <w:lvlJc w:val="left"/>
      <w:pPr>
        <w:ind w:left="0" w:firstLine="400"/>
      </w:pPr>
      <w:rPr>
        <w:rFonts w:hint="default"/>
      </w:rPr>
    </w:lvl>
  </w:abstractNum>
  <w:abstractNum w:abstractNumId="12">
    <w:nsid w:val="19BAF538"/>
    <w:multiLevelType w:val="singleLevel"/>
    <w:tmpl w:val="19BAF538"/>
    <w:lvl w:ilvl="0" w:tentative="0">
      <w:start w:val="1"/>
      <w:numFmt w:val="decimal"/>
      <w:suff w:val="nothing"/>
      <w:lvlText w:val="%1、"/>
      <w:lvlJc w:val="left"/>
    </w:lvl>
  </w:abstractNum>
  <w:abstractNum w:abstractNumId="13">
    <w:nsid w:val="2AE214B1"/>
    <w:multiLevelType w:val="singleLevel"/>
    <w:tmpl w:val="2AE214B1"/>
    <w:lvl w:ilvl="0" w:tentative="0">
      <w:start w:val="1"/>
      <w:numFmt w:val="chineseCounting"/>
      <w:suff w:val="space"/>
      <w:lvlText w:val="第%1章"/>
      <w:lvlJc w:val="left"/>
      <w:rPr>
        <w:rFonts w:hint="eastAsia"/>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4E523C7"/>
    <w:multiLevelType w:val="singleLevel"/>
    <w:tmpl w:val="54E523C7"/>
    <w:lvl w:ilvl="0" w:tentative="0">
      <w:start w:val="1"/>
      <w:numFmt w:val="decimal"/>
      <w:lvlText w:val="%1."/>
      <w:lvlJc w:val="left"/>
      <w:pPr>
        <w:ind w:left="425" w:hanging="425"/>
      </w:pPr>
      <w:rPr>
        <w:rFonts w:hint="default"/>
      </w:rPr>
    </w:lvl>
  </w:abstractNum>
  <w:abstractNum w:abstractNumId="1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1"/>
  </w:num>
  <w:num w:numId="4">
    <w:abstractNumId w:val="1"/>
  </w:num>
  <w:num w:numId="5">
    <w:abstractNumId w:val="9"/>
  </w:num>
  <w:num w:numId="6">
    <w:abstractNumId w:val="12"/>
  </w:num>
  <w:num w:numId="7">
    <w:abstractNumId w:val="5"/>
  </w:num>
  <w:num w:numId="8">
    <w:abstractNumId w:val="17"/>
  </w:num>
  <w:num w:numId="9">
    <w:abstractNumId w:val="3"/>
  </w:num>
  <w:num w:numId="10">
    <w:abstractNumId w:val="16"/>
  </w:num>
  <w:num w:numId="11">
    <w:abstractNumId w:val="4"/>
  </w:num>
  <w:num w:numId="12">
    <w:abstractNumId w:val="6"/>
  </w:num>
  <w:num w:numId="13">
    <w:abstractNumId w:val="7"/>
  </w:num>
  <w:num w:numId="14">
    <w:abstractNumId w:val="2"/>
  </w:num>
  <w:num w:numId="15">
    <w:abstractNumId w:val="15"/>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F73DCB"/>
    <w:rsid w:val="04024D66"/>
    <w:rsid w:val="041273F9"/>
    <w:rsid w:val="04185410"/>
    <w:rsid w:val="041F054D"/>
    <w:rsid w:val="04390EE3"/>
    <w:rsid w:val="046B4304"/>
    <w:rsid w:val="04723F03"/>
    <w:rsid w:val="04BA0275"/>
    <w:rsid w:val="04D47099"/>
    <w:rsid w:val="052C06D9"/>
    <w:rsid w:val="052D1723"/>
    <w:rsid w:val="05505A10"/>
    <w:rsid w:val="05CB39FE"/>
    <w:rsid w:val="05CC3B21"/>
    <w:rsid w:val="061D20C4"/>
    <w:rsid w:val="0627463A"/>
    <w:rsid w:val="063F6C84"/>
    <w:rsid w:val="06457AC5"/>
    <w:rsid w:val="06565268"/>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4B0665"/>
    <w:rsid w:val="0A55104F"/>
    <w:rsid w:val="0A577E65"/>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D45082"/>
    <w:rsid w:val="16D6559E"/>
    <w:rsid w:val="16E55626"/>
    <w:rsid w:val="17105A3A"/>
    <w:rsid w:val="17345C65"/>
    <w:rsid w:val="17476441"/>
    <w:rsid w:val="17AD79E3"/>
    <w:rsid w:val="17B621FD"/>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8A2281"/>
    <w:rsid w:val="1E997498"/>
    <w:rsid w:val="1FC90FD1"/>
    <w:rsid w:val="20170F4D"/>
    <w:rsid w:val="201A79C2"/>
    <w:rsid w:val="201D164D"/>
    <w:rsid w:val="208E0E92"/>
    <w:rsid w:val="20A47853"/>
    <w:rsid w:val="20B9542D"/>
    <w:rsid w:val="20D14525"/>
    <w:rsid w:val="215D04D5"/>
    <w:rsid w:val="21A4371E"/>
    <w:rsid w:val="21A61D5A"/>
    <w:rsid w:val="21B005DE"/>
    <w:rsid w:val="21DE514B"/>
    <w:rsid w:val="221601AD"/>
    <w:rsid w:val="22462CF1"/>
    <w:rsid w:val="22F61C41"/>
    <w:rsid w:val="23247961"/>
    <w:rsid w:val="236C3CC3"/>
    <w:rsid w:val="23AC55B5"/>
    <w:rsid w:val="23D528B6"/>
    <w:rsid w:val="23E02FAC"/>
    <w:rsid w:val="24172B97"/>
    <w:rsid w:val="241D724F"/>
    <w:rsid w:val="2445541E"/>
    <w:rsid w:val="2452047D"/>
    <w:rsid w:val="24762D35"/>
    <w:rsid w:val="24890CA6"/>
    <w:rsid w:val="24A24CC0"/>
    <w:rsid w:val="24AA400C"/>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A2015"/>
    <w:rsid w:val="2BFE6AE3"/>
    <w:rsid w:val="2C2C1A78"/>
    <w:rsid w:val="2C331136"/>
    <w:rsid w:val="2C853C4D"/>
    <w:rsid w:val="2C9034E6"/>
    <w:rsid w:val="2CB5119F"/>
    <w:rsid w:val="2CBA4A07"/>
    <w:rsid w:val="2CC065F2"/>
    <w:rsid w:val="2CDA3697"/>
    <w:rsid w:val="2CDE6160"/>
    <w:rsid w:val="2D340315"/>
    <w:rsid w:val="2D940DB4"/>
    <w:rsid w:val="2DEA40E9"/>
    <w:rsid w:val="2E096ED2"/>
    <w:rsid w:val="2E80471D"/>
    <w:rsid w:val="2F0834D3"/>
    <w:rsid w:val="2F180164"/>
    <w:rsid w:val="2F1C0720"/>
    <w:rsid w:val="2F51603C"/>
    <w:rsid w:val="2F8B238B"/>
    <w:rsid w:val="2FDC0302"/>
    <w:rsid w:val="2FF36824"/>
    <w:rsid w:val="30AE6DA3"/>
    <w:rsid w:val="31041BC9"/>
    <w:rsid w:val="31295CB7"/>
    <w:rsid w:val="313C7E60"/>
    <w:rsid w:val="3170352D"/>
    <w:rsid w:val="319A323E"/>
    <w:rsid w:val="31BA0131"/>
    <w:rsid w:val="31EA53BE"/>
    <w:rsid w:val="31F220E8"/>
    <w:rsid w:val="31F6028F"/>
    <w:rsid w:val="320E11A1"/>
    <w:rsid w:val="321D4941"/>
    <w:rsid w:val="32AE0B6A"/>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2968F9"/>
    <w:rsid w:val="38AD7EB1"/>
    <w:rsid w:val="38CD5909"/>
    <w:rsid w:val="38EB786F"/>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71A69C9"/>
    <w:rsid w:val="472E3805"/>
    <w:rsid w:val="477E37B8"/>
    <w:rsid w:val="478C329D"/>
    <w:rsid w:val="47975239"/>
    <w:rsid w:val="4798403B"/>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307F16"/>
    <w:rsid w:val="4B3D702B"/>
    <w:rsid w:val="4B7A0B6B"/>
    <w:rsid w:val="4BAC1198"/>
    <w:rsid w:val="4BB11155"/>
    <w:rsid w:val="4D07739D"/>
    <w:rsid w:val="4D7151D9"/>
    <w:rsid w:val="4D8D6031"/>
    <w:rsid w:val="4DB25F9C"/>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77EC5"/>
    <w:rsid w:val="54292299"/>
    <w:rsid w:val="546B1599"/>
    <w:rsid w:val="552664CE"/>
    <w:rsid w:val="552A59D6"/>
    <w:rsid w:val="55545C2A"/>
    <w:rsid w:val="55B711E8"/>
    <w:rsid w:val="55F37CBE"/>
    <w:rsid w:val="56366E1A"/>
    <w:rsid w:val="56690D56"/>
    <w:rsid w:val="566B6CBE"/>
    <w:rsid w:val="569525E0"/>
    <w:rsid w:val="56E04EE6"/>
    <w:rsid w:val="56F73FDE"/>
    <w:rsid w:val="570D735E"/>
    <w:rsid w:val="5714693E"/>
    <w:rsid w:val="571526B6"/>
    <w:rsid w:val="578A30A4"/>
    <w:rsid w:val="57FB4293"/>
    <w:rsid w:val="580C5867"/>
    <w:rsid w:val="58985346"/>
    <w:rsid w:val="589B04C7"/>
    <w:rsid w:val="58BD2CD8"/>
    <w:rsid w:val="58BF7D2E"/>
    <w:rsid w:val="58C85B2D"/>
    <w:rsid w:val="58D00315"/>
    <w:rsid w:val="58DA1EC3"/>
    <w:rsid w:val="58F76517"/>
    <w:rsid w:val="59AC10B0"/>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A2130A"/>
    <w:rsid w:val="61477910"/>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9E696A"/>
    <w:rsid w:val="7EA728D8"/>
    <w:rsid w:val="7EC6242E"/>
    <w:rsid w:val="7EFB364E"/>
    <w:rsid w:val="7F025D75"/>
    <w:rsid w:val="7F9E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before="260" w:after="260" w:line="415" w:lineRule="auto"/>
      <w:ind w:firstLine="0"/>
      <w:outlineLvl w:val="1"/>
    </w:pPr>
    <w:rPr>
      <w:rFonts w:ascii="Cambria" w:hAnsi="Cambria" w:cs="宋体"/>
      <w:b/>
      <w:bCs/>
      <w:sz w:val="32"/>
      <w:szCs w:val="32"/>
    </w:rPr>
  </w:style>
  <w:style w:type="paragraph" w:styleId="4">
    <w:name w:val="heading 4"/>
    <w:basedOn w:val="1"/>
    <w:next w:val="1"/>
    <w:link w:val="2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spacing w:line="240" w:lineRule="auto"/>
      <w:ind w:left="1260" w:firstLine="0"/>
      <w:jc w:val="left"/>
    </w:pPr>
    <w:rPr>
      <w:rFonts w:ascii="Calibri" w:hAnsi="Calibri" w:cs="Calibri"/>
      <w:sz w:val="18"/>
      <w:szCs w:val="18"/>
    </w:rPr>
  </w:style>
  <w:style w:type="paragraph" w:styleId="6">
    <w:name w:val="Normal Indent"/>
    <w:basedOn w:val="1"/>
    <w:autoRedefine/>
    <w:qFormat/>
    <w:uiPriority w:val="99"/>
    <w:pPr>
      <w:ind w:firstLine="420" w:firstLineChars="200"/>
    </w:pPr>
    <w:rPr>
      <w:szCs w:val="21"/>
    </w:rPr>
  </w:style>
  <w:style w:type="paragraph" w:styleId="7">
    <w:name w:val="annotation text"/>
    <w:basedOn w:val="1"/>
    <w:link w:val="28"/>
    <w:autoRedefine/>
    <w:qFormat/>
    <w:uiPriority w:val="99"/>
    <w:pPr>
      <w:jc w:val="left"/>
    </w:pPr>
  </w:style>
  <w:style w:type="paragraph" w:styleId="8">
    <w:name w:val="Body Text"/>
    <w:basedOn w:val="1"/>
    <w:next w:val="1"/>
    <w:link w:val="30"/>
    <w:autoRedefine/>
    <w:unhideWhenUsed/>
    <w:qFormat/>
    <w:uiPriority w:val="99"/>
    <w:pPr>
      <w:spacing w:after="120" w:line="240" w:lineRule="auto"/>
      <w:ind w:firstLine="0"/>
    </w:pPr>
  </w:style>
  <w:style w:type="paragraph" w:styleId="9">
    <w:name w:val="Body Text Indent"/>
    <w:basedOn w:val="1"/>
    <w:link w:val="31"/>
    <w:autoRedefine/>
    <w:qFormat/>
    <w:uiPriority w:val="0"/>
    <w:pPr>
      <w:spacing w:line="300" w:lineRule="auto"/>
      <w:ind w:left="718" w:leftChars="342" w:firstLine="0"/>
    </w:pPr>
    <w:rPr>
      <w:rFonts w:ascii="仿宋_GB2312" w:hAnsi="宋体" w:eastAsia="仿宋_GB2312"/>
      <w:sz w:val="24"/>
    </w:rPr>
  </w:style>
  <w:style w:type="paragraph" w:styleId="10">
    <w:name w:val="Plain Text"/>
    <w:basedOn w:val="1"/>
    <w:next w:val="11"/>
    <w:link w:val="32"/>
    <w:autoRedefine/>
    <w:qFormat/>
    <w:uiPriority w:val="0"/>
    <w:pPr>
      <w:spacing w:line="240" w:lineRule="auto"/>
      <w:ind w:firstLine="0"/>
    </w:pPr>
    <w:rPr>
      <w:rFonts w:ascii="宋体" w:hAnsi="Courier New"/>
      <w:kern w:val="0"/>
      <w:sz w:val="20"/>
      <w:szCs w:val="21"/>
    </w:rPr>
  </w:style>
  <w:style w:type="paragraph" w:customStyle="1" w:styleId="1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Balloon Text"/>
    <w:basedOn w:val="1"/>
    <w:link w:val="33"/>
    <w:autoRedefine/>
    <w:qFormat/>
    <w:uiPriority w:val="0"/>
    <w:pPr>
      <w:spacing w:line="240" w:lineRule="auto"/>
    </w:pPr>
    <w:rPr>
      <w:sz w:val="18"/>
      <w:szCs w:val="18"/>
    </w:rPr>
  </w:style>
  <w:style w:type="paragraph" w:styleId="13">
    <w:name w:val="footer"/>
    <w:basedOn w:val="1"/>
    <w:link w:val="59"/>
    <w:autoRedefine/>
    <w:qFormat/>
    <w:uiPriority w:val="0"/>
    <w:pPr>
      <w:tabs>
        <w:tab w:val="center" w:pos="4153"/>
        <w:tab w:val="right" w:pos="8306"/>
      </w:tabs>
      <w:snapToGrid w:val="0"/>
      <w:spacing w:line="240" w:lineRule="auto"/>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semiHidden/>
    <w:unhideWhenUsed/>
    <w:qFormat/>
    <w:uiPriority w:val="0"/>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autoRedefine/>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9">
    <w:name w:val="annotation subject"/>
    <w:basedOn w:val="7"/>
    <w:next w:val="7"/>
    <w:link w:val="29"/>
    <w:autoRedefine/>
    <w:qFormat/>
    <w:uiPriority w:val="0"/>
    <w:rPr>
      <w:b/>
      <w:bCs/>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Hyperlink"/>
    <w:basedOn w:val="22"/>
    <w:autoRedefine/>
    <w:qFormat/>
    <w:uiPriority w:val="99"/>
    <w:rPr>
      <w:color w:val="0563C1"/>
      <w:u w:val="single"/>
    </w:rPr>
  </w:style>
  <w:style w:type="character" w:styleId="25">
    <w:name w:val="annotation reference"/>
    <w:basedOn w:val="22"/>
    <w:autoRedefine/>
    <w:qFormat/>
    <w:uiPriority w:val="0"/>
    <w:rPr>
      <w:sz w:val="21"/>
      <w:szCs w:val="21"/>
    </w:rPr>
  </w:style>
  <w:style w:type="paragraph" w:customStyle="1" w:styleId="2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4 Char"/>
    <w:basedOn w:val="22"/>
    <w:link w:val="4"/>
    <w:autoRedefine/>
    <w:semiHidden/>
    <w:qFormat/>
    <w:uiPriority w:val="0"/>
    <w:rPr>
      <w:rFonts w:asciiTheme="majorHAnsi" w:hAnsiTheme="majorHAnsi" w:eastAsiaTheme="majorEastAsia" w:cstheme="majorBidi"/>
      <w:b/>
      <w:bCs/>
      <w:kern w:val="2"/>
      <w:sz w:val="28"/>
      <w:szCs w:val="28"/>
    </w:rPr>
  </w:style>
  <w:style w:type="character" w:customStyle="1" w:styleId="28">
    <w:name w:val="批注文字 Char"/>
    <w:basedOn w:val="22"/>
    <w:link w:val="7"/>
    <w:autoRedefine/>
    <w:qFormat/>
    <w:uiPriority w:val="99"/>
    <w:rPr>
      <w:kern w:val="2"/>
      <w:sz w:val="21"/>
      <w:szCs w:val="24"/>
    </w:rPr>
  </w:style>
  <w:style w:type="character" w:customStyle="1" w:styleId="29">
    <w:name w:val="批注主题 Char"/>
    <w:basedOn w:val="28"/>
    <w:link w:val="19"/>
    <w:autoRedefine/>
    <w:qFormat/>
    <w:uiPriority w:val="0"/>
    <w:rPr>
      <w:b/>
      <w:bCs/>
      <w:kern w:val="2"/>
      <w:sz w:val="21"/>
      <w:szCs w:val="24"/>
    </w:rPr>
  </w:style>
  <w:style w:type="character" w:customStyle="1" w:styleId="30">
    <w:name w:val="正文文本 Char"/>
    <w:basedOn w:val="22"/>
    <w:link w:val="8"/>
    <w:autoRedefine/>
    <w:qFormat/>
    <w:uiPriority w:val="99"/>
    <w:rPr>
      <w:rFonts w:ascii="Times New Roman" w:hAnsi="Times New Roman"/>
      <w:kern w:val="2"/>
      <w:sz w:val="21"/>
      <w:szCs w:val="24"/>
    </w:rPr>
  </w:style>
  <w:style w:type="character" w:customStyle="1" w:styleId="31">
    <w:name w:val="正文文本缩进 Char"/>
    <w:basedOn w:val="22"/>
    <w:link w:val="9"/>
    <w:autoRedefine/>
    <w:qFormat/>
    <w:uiPriority w:val="0"/>
    <w:rPr>
      <w:rFonts w:ascii="仿宋_GB2312" w:hAnsi="宋体" w:eastAsia="仿宋_GB2312"/>
      <w:kern w:val="2"/>
      <w:sz w:val="24"/>
      <w:szCs w:val="24"/>
    </w:rPr>
  </w:style>
  <w:style w:type="character" w:customStyle="1" w:styleId="32">
    <w:name w:val="纯文本 Char"/>
    <w:basedOn w:val="22"/>
    <w:link w:val="10"/>
    <w:autoRedefine/>
    <w:qFormat/>
    <w:uiPriority w:val="0"/>
    <w:rPr>
      <w:rFonts w:ascii="宋体" w:hAnsi="Courier New"/>
      <w:szCs w:val="21"/>
    </w:rPr>
  </w:style>
  <w:style w:type="character" w:customStyle="1" w:styleId="33">
    <w:name w:val="批注框文本 Char"/>
    <w:basedOn w:val="22"/>
    <w:link w:val="12"/>
    <w:autoRedefine/>
    <w:qFormat/>
    <w:uiPriority w:val="0"/>
    <w:rPr>
      <w:kern w:val="2"/>
      <w:sz w:val="18"/>
      <w:szCs w:val="18"/>
    </w:rPr>
  </w:style>
  <w:style w:type="character" w:customStyle="1" w:styleId="34">
    <w:name w:val="页眉 Char"/>
    <w:basedOn w:val="22"/>
    <w:link w:val="14"/>
    <w:autoRedefine/>
    <w:qFormat/>
    <w:uiPriority w:val="0"/>
    <w:rPr>
      <w:kern w:val="2"/>
      <w:sz w:val="18"/>
      <w:szCs w:val="18"/>
    </w:rPr>
  </w:style>
  <w:style w:type="paragraph" w:styleId="35">
    <w:name w:val="List Paragraph"/>
    <w:basedOn w:val="1"/>
    <w:link w:val="36"/>
    <w:autoRedefine/>
    <w:qFormat/>
    <w:uiPriority w:val="99"/>
    <w:pPr>
      <w:ind w:firstLine="420" w:firstLineChars="200"/>
    </w:pPr>
  </w:style>
  <w:style w:type="character" w:customStyle="1" w:styleId="36">
    <w:name w:val="列出段落 Char1"/>
    <w:link w:val="35"/>
    <w:autoRedefine/>
    <w:qFormat/>
    <w:uiPriority w:val="99"/>
    <w:rPr>
      <w:kern w:val="2"/>
      <w:sz w:val="21"/>
      <w:szCs w:val="24"/>
    </w:rPr>
  </w:style>
  <w:style w:type="paragraph" w:customStyle="1" w:styleId="37">
    <w:name w:val="pf0"/>
    <w:basedOn w:val="1"/>
    <w:autoRedefine/>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8">
    <w:name w:val="cf01"/>
    <w:basedOn w:val="22"/>
    <w:autoRedefine/>
    <w:qFormat/>
    <w:uiPriority w:val="0"/>
    <w:rPr>
      <w:rFonts w:hint="eastAsia" w:ascii="Microsoft YaHei UI" w:hAnsi="Microsoft YaHei UI" w:eastAsia="Microsoft YaHei UI"/>
      <w:sz w:val="18"/>
      <w:szCs w:val="18"/>
    </w:rPr>
  </w:style>
  <w:style w:type="character" w:customStyle="1" w:styleId="39">
    <w:name w:val="font01"/>
    <w:basedOn w:val="22"/>
    <w:autoRedefine/>
    <w:qFormat/>
    <w:uiPriority w:val="0"/>
    <w:rPr>
      <w:rFonts w:hint="eastAsia" w:ascii="宋体" w:hAnsi="宋体" w:eastAsia="宋体" w:cs="宋体"/>
      <w:color w:val="000000"/>
      <w:sz w:val="24"/>
      <w:szCs w:val="24"/>
      <w:u w:val="none"/>
    </w:rPr>
  </w:style>
  <w:style w:type="character" w:customStyle="1" w:styleId="40">
    <w:name w:val="font11"/>
    <w:basedOn w:val="22"/>
    <w:autoRedefine/>
    <w:qFormat/>
    <w:uiPriority w:val="0"/>
    <w:rPr>
      <w:rFonts w:hint="eastAsia" w:ascii="宋体" w:hAnsi="宋体" w:eastAsia="宋体" w:cs="宋体"/>
      <w:color w:val="000000"/>
      <w:sz w:val="24"/>
      <w:szCs w:val="24"/>
      <w:u w:val="none"/>
      <w:vertAlign w:val="superscript"/>
    </w:rPr>
  </w:style>
  <w:style w:type="character" w:customStyle="1" w:styleId="41">
    <w:name w:val="cf11"/>
    <w:basedOn w:val="22"/>
    <w:autoRedefine/>
    <w:qFormat/>
    <w:uiPriority w:val="0"/>
    <w:rPr>
      <w:rFonts w:hint="eastAsia" w:ascii="Microsoft YaHei UI" w:hAnsi="Microsoft YaHei UI" w:eastAsia="Microsoft YaHei UI"/>
      <w:sz w:val="18"/>
      <w:szCs w:val="18"/>
    </w:rPr>
  </w:style>
  <w:style w:type="character" w:customStyle="1" w:styleId="42">
    <w:name w:val="列出段落 Char"/>
    <w:link w:val="43"/>
    <w:autoRedefine/>
    <w:qFormat/>
    <w:uiPriority w:val="34"/>
    <w:rPr>
      <w:kern w:val="2"/>
      <w:sz w:val="21"/>
      <w:szCs w:val="24"/>
    </w:rPr>
  </w:style>
  <w:style w:type="paragraph" w:customStyle="1" w:styleId="43">
    <w:name w:val="_Style 27"/>
    <w:basedOn w:val="1"/>
    <w:next w:val="35"/>
    <w:link w:val="42"/>
    <w:autoRedefine/>
    <w:qFormat/>
    <w:uiPriority w:val="34"/>
    <w:pPr>
      <w:spacing w:line="240" w:lineRule="auto"/>
      <w:ind w:firstLine="420" w:firstLineChars="200"/>
    </w:pPr>
  </w:style>
  <w:style w:type="character" w:customStyle="1" w:styleId="44">
    <w:name w:val="未处理的提及1"/>
    <w:basedOn w:val="22"/>
    <w:autoRedefine/>
    <w:qFormat/>
    <w:uiPriority w:val="99"/>
    <w:rPr>
      <w:color w:val="605E5C"/>
      <w:shd w:val="clear" w:color="auto" w:fill="E1DFDD"/>
    </w:rPr>
  </w:style>
  <w:style w:type="paragraph" w:customStyle="1" w:styleId="45">
    <w:name w:val="列表段落1"/>
    <w:basedOn w:val="1"/>
    <w:autoRedefine/>
    <w:qFormat/>
    <w:uiPriority w:val="0"/>
    <w:pPr>
      <w:spacing w:line="240" w:lineRule="auto"/>
      <w:ind w:firstLine="420" w:firstLineChars="200"/>
    </w:pPr>
    <w:rPr>
      <w:rFonts w:ascii="Calibri" w:hAnsi="Calibri"/>
    </w:rPr>
  </w:style>
  <w:style w:type="character" w:customStyle="1" w:styleId="46">
    <w:name w:val="列表段落 字符2"/>
    <w:autoRedefine/>
    <w:qFormat/>
    <w:uiPriority w:val="99"/>
  </w:style>
  <w:style w:type="table" w:customStyle="1" w:styleId="47">
    <w:name w:val="网格型1"/>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_Style 36"/>
    <w:basedOn w:val="1"/>
    <w:next w:val="35"/>
    <w:qFormat/>
    <w:uiPriority w:val="34"/>
    <w:pPr>
      <w:spacing w:line="240" w:lineRule="auto"/>
      <w:ind w:firstLine="420" w:firstLineChars="200"/>
    </w:pPr>
  </w:style>
  <w:style w:type="character" w:customStyle="1" w:styleId="49">
    <w:name w:val="font61"/>
    <w:basedOn w:val="22"/>
    <w:qFormat/>
    <w:uiPriority w:val="0"/>
    <w:rPr>
      <w:rFonts w:hint="eastAsia" w:ascii="宋体" w:hAnsi="宋体" w:eastAsia="宋体" w:cs="宋体"/>
      <w:color w:val="000000"/>
      <w:sz w:val="20"/>
      <w:szCs w:val="20"/>
      <w:u w:val="none"/>
    </w:rPr>
  </w:style>
  <w:style w:type="character" w:customStyle="1" w:styleId="50">
    <w:name w:val="纯文本 Char1"/>
    <w:qFormat/>
    <w:uiPriority w:val="0"/>
    <w:rPr>
      <w:rFonts w:ascii="宋体" w:hAnsi="Courier New" w:eastAsia="宋体" w:cs="Courier New"/>
      <w:szCs w:val="21"/>
    </w:rPr>
  </w:style>
  <w:style w:type="paragraph" w:customStyle="1" w:styleId="51">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2">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3">
    <w:name w:val="网格型2"/>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3"/>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列出段落1"/>
    <w:basedOn w:val="1"/>
    <w:qFormat/>
    <w:uiPriority w:val="34"/>
    <w:pPr>
      <w:ind w:firstLine="420" w:firstLineChars="200"/>
    </w:pPr>
  </w:style>
  <w:style w:type="character" w:customStyle="1" w:styleId="59">
    <w:name w:val="页脚 Char"/>
    <w:basedOn w:val="22"/>
    <w:link w:val="13"/>
    <w:qFormat/>
    <w:uiPriority w:val="0"/>
    <w:rPr>
      <w:rFonts w:ascii="Times New Roman" w:hAnsi="Times New Roman"/>
      <w:kern w:val="2"/>
      <w:sz w:val="18"/>
      <w:szCs w:val="18"/>
    </w:rPr>
  </w:style>
  <w:style w:type="paragraph" w:customStyle="1" w:styleId="60">
    <w:name w:val="Table Paragraph"/>
    <w:basedOn w:val="1"/>
    <w:autoRedefine/>
    <w:qFormat/>
    <w:uiPriority w:val="1"/>
    <w:pPr>
      <w:spacing w:before="62"/>
      <w:ind w:right="91"/>
      <w:jc w:val="center"/>
    </w:pPr>
    <w:rPr>
      <w:rFonts w:ascii="宋体" w:hAnsi="宋体" w:eastAsia="宋体" w:cs="宋体"/>
      <w:lang w:val="zh-CN" w:eastAsia="zh-CN" w:bidi="zh-CN"/>
    </w:rPr>
  </w:style>
  <w:style w:type="paragraph" w:customStyle="1" w:styleId="61">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FBA39-0D8A-4E12-9CE7-10030BE8787C}">
  <ds:schemaRefs/>
</ds:datastoreItem>
</file>

<file path=customXml/itemProps3.xml><?xml version="1.0" encoding="utf-8"?>
<ds:datastoreItem xmlns:ds="http://schemas.openxmlformats.org/officeDocument/2006/customXml" ds:itemID="{BDF74273-9075-49A0-B0E1-5DD2C702CF65}">
  <ds:schemaRefs/>
</ds:datastoreItem>
</file>

<file path=customXml/itemProps4.xml><?xml version="1.0" encoding="utf-8"?>
<ds:datastoreItem xmlns:ds="http://schemas.openxmlformats.org/officeDocument/2006/customXml" ds:itemID="{AA28215C-48C6-497C-9337-64A8A93D9BB0}">
  <ds:schemaRefs/>
</ds:datastoreItem>
</file>

<file path=customXml/itemProps5.xml><?xml version="1.0" encoding="utf-8"?>
<ds:datastoreItem xmlns:ds="http://schemas.openxmlformats.org/officeDocument/2006/customXml" ds:itemID="{5875F463-7806-4AE2-A4A6-CA18DC8B305B}">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22</Pages>
  <Words>11000</Words>
  <Characters>11392</Characters>
  <Lines>166</Lines>
  <Paragraphs>46</Paragraphs>
  <TotalTime>48</TotalTime>
  <ScaleCrop>false</ScaleCrop>
  <LinksUpToDate>false</LinksUpToDate>
  <CharactersWithSpaces>11870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07</cp:lastModifiedBy>
  <cp:lastPrinted>2024-04-24T02:33:00Z</cp:lastPrinted>
  <dcterms:modified xsi:type="dcterms:W3CDTF">2024-04-29T02:41:13Z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2769805CEFA447ED92F5B49B58120AAD_13</vt:lpwstr>
  </property>
</Properties>
</file>