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440001-2023-49347</w:t>
      </w:r>
    </w:p>
    <w:p>
      <w:pPr>
        <w:jc w:val="center"/>
      </w:pPr>
      <w:r>
        <w:rPr>
          <w:b/>
          <w:sz w:val="24"/>
        </w:rPr>
        <w:t>采购项目编号：</w:t>
      </w:r>
      <w:r>
        <w:rPr>
          <w:b/>
          <w:sz w:val="24"/>
        </w:rPr>
        <w:t>GPCGD232201HG156F</w:t>
      </w:r>
    </w:p>
    <w:p>
      <w:pPr>
        <w:jc w:val="center"/>
      </w:pPr>
      <w:r>
        <w:rPr>
          <w:b/>
          <w:sz w:val="24"/>
        </w:rPr>
        <w:t>项目名称：</w:t>
      </w:r>
      <w:r>
        <w:rPr>
          <w:b/>
          <w:sz w:val="24"/>
        </w:rPr>
        <w:t>广州片区省属监狱2023-2024年度罪犯大宗生活物资（大米及食用油）采购项目</w:t>
      </w:r>
    </w:p>
    <w:p>
      <w:pPr>
        <w:jc w:val="center"/>
      </w:pPr>
      <w:r>
        <w:rPr>
          <w:b/>
          <w:sz w:val="24"/>
        </w:rPr>
        <w:t>采购人：</w:t>
      </w:r>
      <w:r>
        <w:rPr>
          <w:b/>
          <w:sz w:val="24"/>
        </w:rPr>
        <w:t>广东省未成年犯管教所</w:t>
      </w:r>
    </w:p>
    <w:p>
      <w:pPr>
        <w:jc w:val="center"/>
      </w:pPr>
      <w:r>
        <w:rPr>
          <w:b/>
          <w:sz w:val="24"/>
        </w:rPr>
        <w:t>采购代理机构：</w:t>
      </w:r>
      <w:r>
        <w:rPr>
          <w:b/>
          <w:sz w:val="24"/>
        </w:rPr>
        <w:t>广东省政府采购中心</w:t>
      </w:r>
    </w:p>
    <w:p>
      <w:pPr>
        <w:ind w:firstLine="480"/>
      </w:pPr>
    </w:p>
    <w:p>
      <w:r>
        <w:rPr/>
        <w:t xml:space="preserve"> </w:t>
      </w:r>
    </w:p>
    <w:p/>
    <w:p>
      <w:pPr>
        <w:jc w:val="center"/>
      </w:pPr>
      <w:r>
        <w:rPr>
          <w:b/>
          <w:sz w:val="36"/>
        </w:rPr>
        <w:t>第一章投标邀请</w:t>
      </w:r>
    </w:p>
    <w:p>
      <w:pPr>
        <w:ind w:firstLine="480"/>
      </w:pPr>
      <w:r>
        <w:rPr/>
        <w:t>广东省政府采购中心</w:t>
      </w:r>
      <w:r>
        <w:rPr/>
        <w:t>受</w:t>
      </w:r>
      <w:r>
        <w:rPr/>
        <w:t>广东省未成年犯管教所</w:t>
      </w:r>
      <w:r>
        <w:rPr/>
        <w:t>的委托，采用</w:t>
      </w:r>
      <w:r>
        <w:rPr/>
        <w:t>公开招标</w:t>
      </w:r>
      <w:r>
        <w:rPr/>
        <w:t>方式组织采购</w:t>
      </w:r>
      <w:r>
        <w:rPr/>
        <w:t>广州片区省属监狱2023-2024年度罪犯大宗生活物资（大米及食用油）采购项目</w:t>
      </w:r>
      <w:r>
        <w:rPr/>
        <w:t>。欢迎符合资格条件的国内供应商参加投标。</w:t>
      </w:r>
    </w:p>
    <w:p>
      <w:r>
        <w:rPr>
          <w:b/>
          <w:sz w:val="28"/>
        </w:rPr>
        <w:t>一.项目概述</w:t>
      </w:r>
    </w:p>
    <w:p>
      <w:r>
        <w:rPr>
          <w:b/>
          <w:sz w:val="24"/>
        </w:rPr>
        <w:t>1.名称与编号</w:t>
      </w:r>
    </w:p>
    <w:p>
      <w:pPr>
        <w:ind w:firstLine="480"/>
      </w:pPr>
      <w:r>
        <w:rPr/>
        <w:t>项目名称：</w:t>
      </w:r>
      <w:r>
        <w:rPr/>
        <w:t>广州片区省属监狱2023-2024年度罪犯大宗生活物资（大米及食用油）采购项目</w:t>
      </w:r>
    </w:p>
    <w:p>
      <w:pPr>
        <w:ind w:firstLine="480"/>
      </w:pPr>
      <w:r>
        <w:rPr/>
        <w:t>采购计划编号：</w:t>
      </w:r>
      <w:r>
        <w:rPr/>
        <w:t>440001-2023-49347</w:t>
      </w:r>
    </w:p>
    <w:p>
      <w:pPr>
        <w:ind w:firstLine="480"/>
      </w:pPr>
      <w:r>
        <w:rPr/>
        <w:t>采购项目编号：</w:t>
      </w:r>
      <w:r>
        <w:rPr/>
        <w:t>GPCGD232201HG156F</w:t>
      </w:r>
    </w:p>
    <w:p>
      <w:pPr>
        <w:ind w:firstLine="480"/>
      </w:pPr>
      <w:r>
        <w:rPr/>
        <w:t>采购方式：</w:t>
      </w:r>
      <w:r>
        <w:rPr/>
        <w:t>公开招标</w:t>
      </w:r>
    </w:p>
    <w:p>
      <w:pPr>
        <w:ind w:firstLine="480"/>
      </w:pPr>
      <w:r>
        <w:rPr/>
        <w:t>预算金额：</w:t>
      </w:r>
      <w:r>
        <w:rPr/>
        <w:t>7,948,544.49</w:t>
      </w:r>
      <w:r>
        <w:rPr/>
        <w:t>元</w:t>
      </w:r>
    </w:p>
    <w:p>
      <w:r>
        <w:rPr>
          <w:b/>
          <w:sz w:val="24"/>
        </w:rPr>
        <w:t>2.项目内容及需求情况（采购项目技术规格、参数及要求）</w:t>
      </w:r>
    </w:p>
    <w:p>
      <w:pPr>
        <w:ind w:firstLine="480"/>
      </w:pPr>
    </w:p>
    <w:p/>
    <w:p>
      <w:r>
        <w:rPr/>
        <w:t>采购包1(广州片区省属监狱2023-2024年度罪犯大宗生活物资（大米及食用油）采购项目的第1包):</w:t>
      </w:r>
    </w:p>
    <w:p>
      <w:r>
        <w:rPr/>
        <w:t>采购包预算金额：7,948,544.49元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其他农作物副产品</w:t>
            </w:r>
          </w:p>
        </w:tc>
        <w:tc>
          <w:tcPr>
            <w:tcW w:type="dxa" w:w="2052"/>
          </w:tcPr>
          <w:p>
            <w:r>
              <w:rPr/>
              <w:t>籼米</w:t>
            </w:r>
          </w:p>
        </w:tc>
        <w:tc>
          <w:tcPr>
            <w:tcW w:type="dxa" w:w="977"/>
          </w:tcPr>
          <w:p>
            <w:r>
              <w:rPr/>
              <w:t>1.00(批)</w:t>
            </w:r>
          </w:p>
        </w:tc>
        <w:tc>
          <w:tcPr>
            <w:tcW w:type="dxa" w:w="977"/>
          </w:tcPr>
          <w:p>
            <w:r>
              <w:rPr/>
              <w:t>详见第二章</w:t>
            </w:r>
          </w:p>
        </w:tc>
        <w:tc>
          <w:tcPr>
            <w:tcW w:type="dxa" w:w="977"/>
          </w:tcPr>
          <w:p>
            <w:r>
              <w:rPr/>
              <w:t>6,259,755.84</w:t>
            </w:r>
          </w:p>
        </w:tc>
        <w:tc>
          <w:tcPr>
            <w:tcW w:type="dxa" w:w="977"/>
          </w:tcPr>
          <w:p>
            <w:r>
              <w:rPr/>
              <w:t>否</w:t>
            </w:r>
          </w:p>
        </w:tc>
      </w:tr>
      <w:tr>
        <w:tc>
          <w:tcPr>
            <w:tcW w:type="dxa" w:w="977"/>
          </w:tcPr>
          <w:p>
            <w:r>
              <w:rPr/>
              <w:t>1-2</w:t>
            </w:r>
          </w:p>
        </w:tc>
        <w:tc>
          <w:tcPr>
            <w:tcW w:type="dxa" w:w="1368"/>
          </w:tcPr>
          <w:p>
            <w:r>
              <w:rPr/>
              <w:t>其他农副食品，动、植物油制品</w:t>
            </w:r>
          </w:p>
        </w:tc>
        <w:tc>
          <w:tcPr>
            <w:tcW w:type="dxa" w:w="2052"/>
          </w:tcPr>
          <w:p>
            <w:r>
              <w:rPr/>
              <w:t>食用油</w:t>
            </w:r>
          </w:p>
        </w:tc>
        <w:tc>
          <w:tcPr>
            <w:tcW w:type="dxa" w:w="977"/>
          </w:tcPr>
          <w:p>
            <w:r>
              <w:rPr/>
              <w:t>1.00(项)</w:t>
            </w:r>
          </w:p>
        </w:tc>
        <w:tc>
          <w:tcPr>
            <w:tcW w:type="dxa" w:w="977"/>
          </w:tcPr>
          <w:p>
            <w:r>
              <w:rPr/>
              <w:t>详见第二章</w:t>
            </w:r>
          </w:p>
        </w:tc>
        <w:tc>
          <w:tcPr>
            <w:tcW w:type="dxa" w:w="977"/>
          </w:tcPr>
          <w:p>
            <w:r>
              <w:rPr/>
              <w:t>1,688,788.65</w:t>
            </w:r>
          </w:p>
        </w:tc>
        <w:tc>
          <w:tcPr>
            <w:tcW w:type="dxa" w:w="977"/>
          </w:tcPr>
          <w:p>
            <w:r>
              <w:rPr/>
              <w:t>否</w:t>
            </w:r>
          </w:p>
        </w:tc>
      </w:tr>
    </w:tbl>
    <w:p/>
    <w:p>
      <w:r>
        <w:rPr/>
        <w:t>本采购包不接受联合体投标</w:t>
      </w:r>
    </w:p>
    <w:p/>
    <w:p>
      <w:r>
        <w:rPr/>
        <w:t>合同履行期限：自合同签订之日起12个月。</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3）具有良好的商业信誉和健全的财务会计制度：供应商必须具有良好的商业信誉和健全的财务会计制度（①2022年度财务状况报告；②基本开户行出具的资信证明和《基本存款账号信息》）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采购包1（广州片区省属监狱2023-2024年度罪犯大宗生活物资（大米及食用油）采购项目的第1包）：</w:t>
      </w:r>
      <w:r>
        <w:rPr/>
        <w:t>本项目属于专门面向中小企业的采购，供应商所提供的货物须全部由中小企业生产且使用该中小企业商号或者注册商标，中小企业须为符合采购标的对应行业（本项目行业为：工业）划分标准的中小企业（监狱企业、残疾人福利单位视同小型、微型企业）。 注：中小企业以供应商填写的（货物类）《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采购包1（广州片区省属监狱2023-2024年度罪犯大宗生活物资（大米及食用油）采购项目的第1包）：</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3)投标人具备以下情形之一： ①具有有效的《食品生产许可证》或《食品经营许可证》，投标时提供证书复印件。 ②已在食品安全监督管理部门办理仅销售预包装食品的备案，投标时提供备案证明材料。 ③承诺签认合同后到食品安全监督管理部门办理仅销售预包装食品的备案，投标时提供承诺函。</w:t>
      </w:r>
    </w:p>
    <w:p/>
    <w:p>
      <w:r>
        <w:rPr/>
        <w:t>4)本项目不接受联合体投标，不允许分包、转包。</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广东省政府采购中心（http://gpcgd.gd.gov.cn/）</w:t>
      </w:r>
    </w:p>
    <w:p>
      <w:r>
        <w:rPr>
          <w:b/>
          <w:sz w:val="28"/>
        </w:rPr>
        <w:t>六.本项目联系方式：</w:t>
      </w:r>
    </w:p>
    <w:p>
      <w:r>
        <w:rPr>
          <w:b/>
          <w:sz w:val="24"/>
        </w:rPr>
        <w:t>1.采购人信息</w:t>
      </w:r>
    </w:p>
    <w:p>
      <w:pPr>
        <w:ind w:firstLine="480"/>
      </w:pPr>
      <w:r>
        <w:rPr/>
        <w:t>名称：</w:t>
      </w:r>
      <w:r>
        <w:rPr/>
        <w:t>广东省未成年犯管教所</w:t>
      </w:r>
    </w:p>
    <w:p>
      <w:pPr>
        <w:ind w:firstLine="480"/>
      </w:pPr>
      <w:r>
        <w:rPr/>
        <w:t>地址：</w:t>
      </w:r>
      <w:r>
        <w:rPr/>
        <w:t>广州市白云区石井石潭路376号</w:t>
      </w:r>
    </w:p>
    <w:p>
      <w:pPr>
        <w:ind w:firstLine="480"/>
      </w:pPr>
      <w:r>
        <w:rPr/>
        <w:t>联系方式：</w:t>
      </w:r>
      <w:r>
        <w:rPr/>
        <w:t>020-86416567</w:t>
      </w:r>
    </w:p>
    <w:p>
      <w:r>
        <w:rPr>
          <w:b/>
          <w:sz w:val="24"/>
        </w:rPr>
        <w:t>2.采购代理机构信息</w:t>
      </w:r>
    </w:p>
    <w:p>
      <w:pPr>
        <w:ind w:firstLine="480"/>
      </w:pPr>
      <w:r>
        <w:rPr/>
        <w:t>名称：</w:t>
      </w:r>
      <w:r>
        <w:rPr/>
        <w:t>广东省政府采购中心</w:t>
      </w:r>
    </w:p>
    <w:p>
      <w:pPr>
        <w:ind w:firstLine="480"/>
      </w:pPr>
      <w:r>
        <w:rPr/>
        <w:t>地址：</w:t>
      </w:r>
      <w:r>
        <w:rPr/>
        <w:t>广东省广州市越秀区越华路112号珠江国际大厦3楼</w:t>
      </w:r>
    </w:p>
    <w:p>
      <w:pPr>
        <w:ind w:firstLine="480"/>
      </w:pPr>
      <w:r>
        <w:rPr/>
        <w:t>联系方式：</w:t>
      </w:r>
      <w:r>
        <w:rPr/>
        <w:t>020-83187182/83187180；邮箱：caigou2@gd.gov.cn</w:t>
      </w:r>
    </w:p>
    <w:p>
      <w:r>
        <w:rPr>
          <w:b/>
          <w:sz w:val="24"/>
        </w:rPr>
        <w:t>3.项目联系方式</w:t>
      </w:r>
    </w:p>
    <w:p>
      <w:pPr>
        <w:ind w:firstLine="480"/>
      </w:pPr>
      <w:r>
        <w:rPr/>
        <w:t>项目联系人：</w:t>
      </w:r>
      <w:r>
        <w:rPr/>
        <w:t>陈工/唐工</w:t>
      </w:r>
    </w:p>
    <w:p>
      <w:pPr>
        <w:ind w:firstLine="480"/>
      </w:pPr>
      <w:r>
        <w:rPr/>
        <w:t>电话：</w:t>
      </w:r>
      <w:r>
        <w:rPr/>
        <w:t>020-83187182/83187180；邮箱：caigou2@gd.gov.cn</w:t>
      </w:r>
    </w:p>
    <w:p>
      <w:r>
        <w:rPr>
          <w:b/>
          <w:sz w:val="24"/>
        </w:rPr>
        <w:t>4.技术支持联系方式</w:t>
      </w:r>
    </w:p>
    <w:p>
      <w:pPr>
        <w:ind w:firstLine="480"/>
      </w:pPr>
      <w:r>
        <w:rPr/>
        <w:t>云平台联系方式：020-88696588</w:t>
      </w:r>
    </w:p>
    <w:p>
      <w:r>
        <w:rPr/>
        <w:t>采购代理机构：</w:t>
      </w:r>
      <w:r>
        <w:rPr/>
        <w:t>广东省政府采购中心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2"/>
        <w:jc w:val="both"/>
      </w:pPr>
      <w:r>
        <w:rPr>
          <w:b/>
          <w:color w:val="000000"/>
          <w:sz w:val="21"/>
        </w:rPr>
        <w:t>本项目属于货物类项目，中小企业声明函见投标文件格式《中小企业声明函（货物）》，中小企业划分标准所属行业为：工业。本项目不允许分包、转包。</w:t>
      </w:r>
    </w:p>
    <w:p>
      <w:pPr>
        <w:ind w:firstLine="422"/>
        <w:jc w:val="both"/>
      </w:pPr>
      <w:r>
        <w:rPr>
          <w:b/>
          <w:color w:val="000000"/>
          <w:sz w:val="21"/>
        </w:rPr>
        <w:t>本项目核心产品为籼米。</w:t>
      </w:r>
    </w:p>
    <w:p>
      <w:pPr>
        <w:ind w:firstLine="422"/>
        <w:jc w:val="both"/>
      </w:pPr>
      <w:r>
        <w:rPr>
          <w:b/>
          <w:color w:val="000000"/>
          <w:sz w:val="21"/>
        </w:rPr>
        <w:t>“★”</w:t>
      </w:r>
      <w:r>
        <w:rPr>
          <w:b/>
          <w:color w:val="000000"/>
          <w:sz w:val="21"/>
        </w:rPr>
        <w:t>号、</w:t>
      </w:r>
      <w:r>
        <w:rPr>
          <w:b/>
          <w:color w:val="000000"/>
          <w:sz w:val="21"/>
        </w:rPr>
        <w:t>“▲”</w:t>
      </w:r>
      <w:r>
        <w:rPr>
          <w:b/>
          <w:color w:val="000000"/>
          <w:sz w:val="21"/>
        </w:rPr>
        <w:t>号条款</w:t>
      </w:r>
    </w:p>
    <w:p>
      <w:pPr>
        <w:ind w:firstLine="422"/>
        <w:jc w:val="both"/>
      </w:pPr>
      <w:r>
        <w:rPr>
          <w:color w:val="000000"/>
          <w:sz w:val="21"/>
        </w:rPr>
        <w:t>《用户需求书》中标注有</w:t>
      </w:r>
      <w:r>
        <w:rPr>
          <w:color w:val="000000"/>
          <w:sz w:val="21"/>
        </w:rPr>
        <w:t>“★”</w:t>
      </w:r>
      <w:r>
        <w:rPr>
          <w:color w:val="000000"/>
          <w:sz w:val="21"/>
        </w:rPr>
        <w:t>号的条款必须实质性响应，负偏离（不满足要求）将导致投标无效。标有</w:t>
      </w:r>
      <w:r>
        <w:rPr>
          <w:color w:val="000000"/>
          <w:sz w:val="21"/>
        </w:rPr>
        <w:t>“▲”</w:t>
      </w:r>
      <w:r>
        <w:rPr>
          <w:color w:val="000000"/>
          <w:sz w:val="21"/>
        </w:rPr>
        <w:t>的条款均为评审的重要技术指标，投标人若有部分</w:t>
      </w:r>
      <w:r>
        <w:rPr>
          <w:color w:val="000000"/>
          <w:sz w:val="21"/>
        </w:rPr>
        <w:t>“▲”</w:t>
      </w:r>
      <w:r>
        <w:rPr>
          <w:color w:val="000000"/>
          <w:sz w:val="21"/>
        </w:rPr>
        <w:t>条款未响应或不满足，将影响评分。</w:t>
      </w:r>
    </w:p>
    <w:p>
      <w:pPr>
        <w:jc w:val="center"/>
      </w:pPr>
    </w:p>
    <w:p>
      <w:pPr>
        <w:jc w:val="both"/>
      </w:pPr>
      <w:r>
        <w:rPr>
          <w:b/>
          <w:sz w:val="21"/>
        </w:rPr>
        <w:t>一、项目概况</w:t>
      </w:r>
    </w:p>
    <w:p>
      <w:pPr>
        <w:jc w:val="both"/>
      </w:pPr>
      <w:r>
        <w:rPr>
          <w:sz w:val="21"/>
        </w:rPr>
        <w:t>（一）本项目为广东省未成年犯管教所</w:t>
      </w:r>
      <w:r>
        <w:rPr>
          <w:sz w:val="21"/>
        </w:rPr>
        <w:t>(</w:t>
      </w:r>
      <w:r>
        <w:rPr>
          <w:sz w:val="21"/>
        </w:rPr>
        <w:t>白云监狱</w:t>
      </w:r>
      <w:r>
        <w:rPr>
          <w:sz w:val="21"/>
        </w:rPr>
        <w:t>)</w:t>
      </w:r>
      <w:r>
        <w:rPr>
          <w:sz w:val="21"/>
        </w:rPr>
        <w:t>、广东省女子监狱、广东省广州监狱、监狱中心医院等</w:t>
      </w:r>
      <w:r>
        <w:rPr>
          <w:sz w:val="21"/>
        </w:rPr>
        <w:t>4</w:t>
      </w:r>
      <w:r>
        <w:rPr>
          <w:sz w:val="21"/>
        </w:rPr>
        <w:t>所单位所需的罪犯生活物资——大米及食用油的采购，货物供应期为：</w:t>
      </w:r>
      <w:r>
        <w:rPr>
          <w:sz w:val="21"/>
        </w:rPr>
        <w:t>自合同签订之日起12个月。</w:t>
      </w:r>
    </w:p>
    <w:p>
      <w:pPr>
        <w:jc w:val="both"/>
      </w:pPr>
      <w:r>
        <w:rPr>
          <w:sz w:val="21"/>
        </w:rPr>
        <w:t>（二）本项目所需物资按各个监狱需求分期分批供应，采购预算总金额约</w:t>
      </w:r>
      <w:r>
        <w:rPr>
          <w:sz w:val="21"/>
        </w:rPr>
        <w:t>7948544.49</w:t>
      </w:r>
      <w:r>
        <w:rPr>
          <w:sz w:val="21"/>
        </w:rPr>
        <w:t>元（其中广东省未成年犯管教所（白云监狱）</w:t>
      </w:r>
      <w:r>
        <w:rPr>
          <w:sz w:val="21"/>
        </w:rPr>
        <w:t>1278276</w:t>
      </w:r>
      <w:r>
        <w:rPr>
          <w:sz w:val="21"/>
        </w:rPr>
        <w:t>元、广州监狱约</w:t>
      </w:r>
      <w:r>
        <w:rPr>
          <w:sz w:val="21"/>
        </w:rPr>
        <w:t>1569216</w:t>
      </w:r>
      <w:r>
        <w:rPr>
          <w:sz w:val="21"/>
        </w:rPr>
        <w:t>元、广东省女子监狱约</w:t>
      </w:r>
      <w:r>
        <w:rPr>
          <w:sz w:val="21"/>
        </w:rPr>
        <w:t>4860075</w:t>
      </w:r>
      <w:r>
        <w:rPr>
          <w:sz w:val="21"/>
        </w:rPr>
        <w:t>元、监狱中心医院约</w:t>
      </w:r>
      <w:r>
        <w:rPr>
          <w:sz w:val="21"/>
        </w:rPr>
        <w:t>240977.49</w:t>
      </w:r>
      <w:r>
        <w:rPr>
          <w:sz w:val="21"/>
        </w:rPr>
        <w:t>元）；如实际采购数量未达或超过需求计划的，以实际为准。</w:t>
      </w:r>
    </w:p>
    <w:p>
      <w:pPr>
        <w:jc w:val="both"/>
      </w:pPr>
      <w:r>
        <w:rPr>
          <w:sz w:val="21"/>
        </w:rPr>
        <w:t>（三）本项目具体终止时间以达到采购预算或截止日期两者先到为准。</w:t>
      </w:r>
    </w:p>
    <w:p>
      <w:pPr>
        <w:jc w:val="both"/>
      </w:pPr>
      <w:r>
        <w:rPr>
          <w:sz w:val="21"/>
        </w:rPr>
        <w:t>（四）本项目为广州片区省属监狱</w:t>
      </w:r>
      <w:r>
        <w:rPr>
          <w:sz w:val="21"/>
        </w:rPr>
        <w:t>4</w:t>
      </w:r>
      <w:r>
        <w:rPr>
          <w:sz w:val="21"/>
        </w:rPr>
        <w:t>所单位联合采购项目，适用于广东省未成年犯管教所（白云监狱）、广东省女子监狱、广东省广州监狱、监狱中心医院，广东省未成年犯管教所（白云监狱）为采购牵头单位</w:t>
      </w:r>
      <w:r>
        <w:rPr>
          <w:sz w:val="21"/>
        </w:rPr>
        <w:t>,</w:t>
      </w:r>
      <w:r>
        <w:rPr>
          <w:sz w:val="21"/>
        </w:rPr>
        <w:t>项目后续关于合同签订、合同履行等相关事宜，由中标人分别与</w:t>
      </w:r>
      <w:r>
        <w:rPr>
          <w:sz w:val="21"/>
        </w:rPr>
        <w:t>4</w:t>
      </w:r>
      <w:r>
        <w:rPr>
          <w:sz w:val="21"/>
        </w:rPr>
        <w:t>单位执行。</w:t>
      </w:r>
    </w:p>
    <w:p>
      <w:pPr>
        <w:jc w:val="both"/>
      </w:pPr>
      <w:r>
        <w:rPr>
          <w:sz w:val="21"/>
        </w:rPr>
        <w:t>★（五）合同执行过程中，如中标人提出提前终止合同的，需片区内所有监狱同步终止，不得选择终止其中某个或部分单位而保留另一部分单位继续供应；如监狱提出提前终止合同的，需片区所有监狱同步向中标供应商提出，同时终止所签订的合同。（提供承诺函，可参照“投标文件格式”中《承诺函》格式）</w:t>
      </w:r>
    </w:p>
    <w:p>
      <w:pPr>
        <w:jc w:val="both"/>
      </w:pPr>
      <w:r>
        <w:rPr>
          <w:sz w:val="21"/>
        </w:rPr>
        <w:t>（六）投标人必须书面确认以下内容：“投标人已认真阅读及了解本项目需求清单、内容及实施条件，明白采购人是监狱场所，具有一定的特殊性以及配送要求的限制性、应急工作的紧迫性。对本项目的实施难度已有预见性并充分研判，确保自身有能力、有条件完成合同。清楚盲目投标可能导致无法履行合同约定，对招标方的工作造成影响，承当盲目投标所造成的一切法律责任和后果。”</w:t>
      </w:r>
    </w:p>
    <w:p>
      <w:pPr>
        <w:jc w:val="both"/>
      </w:pPr>
    </w:p>
    <w:p>
      <w:pPr>
        <w:jc w:val="both"/>
      </w:pPr>
      <w:r>
        <w:rPr>
          <w:b/>
          <w:sz w:val="21"/>
        </w:rPr>
        <w:t>三、报价及最高限价、采购清单、质量及包装要求</w:t>
      </w:r>
    </w:p>
    <w:p>
      <w:pPr>
        <w:jc w:val="both"/>
      </w:pPr>
      <w:r>
        <w:rPr>
          <w:b/>
          <w:sz w:val="21"/>
        </w:rPr>
        <w:t>（一）报价及最高限价：</w:t>
      </w:r>
      <w:r>
        <w:rPr>
          <w:sz w:val="21"/>
        </w:rPr>
        <w:t>投标报价包含产品价格、运输、装卸、售后服务、保险、搬运费、税金等所有费用，价格精确到分。</w:t>
      </w:r>
      <w:r>
        <w:rPr>
          <w:color w:val="000000"/>
          <w:sz w:val="21"/>
        </w:rPr>
        <w:t>（分以后数值取四舍五入）</w:t>
      </w:r>
    </w:p>
    <w:p>
      <w:pPr>
        <w:jc w:val="both"/>
      </w:pPr>
      <w:r>
        <w:rPr>
          <w:sz w:val="21"/>
        </w:rPr>
        <w:t>最高限价为：籼米</w:t>
      </w:r>
      <w:r>
        <w:rPr>
          <w:sz w:val="21"/>
        </w:rPr>
        <w:t>4.38</w:t>
      </w:r>
      <w:r>
        <w:rPr>
          <w:sz w:val="21"/>
        </w:rPr>
        <w:t>元</w:t>
      </w:r>
      <w:r>
        <w:rPr>
          <w:sz w:val="21"/>
        </w:rPr>
        <w:t>/</w:t>
      </w:r>
      <w:r>
        <w:rPr>
          <w:sz w:val="21"/>
        </w:rPr>
        <w:t>公斤，大豆油</w:t>
      </w:r>
      <w:r>
        <w:rPr>
          <w:sz w:val="21"/>
        </w:rPr>
        <w:t>9.07</w:t>
      </w:r>
      <w:r>
        <w:rPr>
          <w:sz w:val="21"/>
        </w:rPr>
        <w:t>元</w:t>
      </w:r>
      <w:r>
        <w:rPr>
          <w:sz w:val="21"/>
        </w:rPr>
        <w:t>/</w:t>
      </w:r>
      <w:r>
        <w:rPr>
          <w:sz w:val="21"/>
        </w:rPr>
        <w:t>升，花生油</w:t>
      </w:r>
      <w:r>
        <w:rPr>
          <w:sz w:val="21"/>
        </w:rPr>
        <w:t>16.83</w:t>
      </w:r>
      <w:r>
        <w:rPr>
          <w:sz w:val="21"/>
        </w:rPr>
        <w:t>元</w:t>
      </w:r>
      <w:r>
        <w:rPr>
          <w:sz w:val="21"/>
        </w:rPr>
        <w:t>/</w:t>
      </w:r>
      <w:r>
        <w:rPr>
          <w:sz w:val="21"/>
        </w:rPr>
        <w:t>升，玉米油</w:t>
      </w:r>
      <w:r>
        <w:rPr>
          <w:sz w:val="21"/>
        </w:rPr>
        <w:t>13</w:t>
      </w:r>
      <w:r>
        <w:rPr>
          <w:sz w:val="21"/>
        </w:rPr>
        <w:t>元</w:t>
      </w:r>
      <w:r>
        <w:rPr>
          <w:sz w:val="21"/>
        </w:rPr>
        <w:t>/</w:t>
      </w:r>
      <w:r>
        <w:rPr>
          <w:sz w:val="21"/>
        </w:rPr>
        <w:t>升（见采购清单），超过最高限价的视为无效投标。</w:t>
      </w:r>
    </w:p>
    <w:p>
      <w:r>
        <w:rPr>
          <w:b/>
          <w:sz w:val="21"/>
        </w:rPr>
        <w:t>投标报价采用报整体“折扣率（</w:t>
      </w:r>
      <w:r>
        <w:rPr>
          <w:b/>
          <w:sz w:val="21"/>
        </w:rPr>
        <w:t>%</w:t>
      </w:r>
      <w:r>
        <w:rPr>
          <w:b/>
          <w:sz w:val="21"/>
        </w:rPr>
        <w:t>）”的方式（折扣率应大于</w:t>
      </w:r>
      <w:r>
        <w:rPr>
          <w:b/>
          <w:sz w:val="21"/>
        </w:rPr>
        <w:t>0%</w:t>
      </w:r>
      <w:r>
        <w:rPr>
          <w:b/>
          <w:sz w:val="21"/>
        </w:rPr>
        <w:t>小于等于</w:t>
      </w:r>
      <w:r>
        <w:rPr>
          <w:b/>
          <w:sz w:val="21"/>
        </w:rPr>
        <w:t>100%</w:t>
      </w:r>
      <w:r>
        <w:rPr>
          <w:b/>
          <w:sz w:val="21"/>
        </w:rPr>
        <w:t>）。</w:t>
      </w:r>
      <w:r>
        <w:rPr>
          <w:sz w:val="21"/>
        </w:rPr>
        <w:t>即：该品种结算价</w:t>
      </w:r>
      <w:r>
        <w:rPr>
          <w:sz w:val="21"/>
        </w:rPr>
        <w:t>=</w:t>
      </w:r>
      <w:r>
        <w:rPr>
          <w:sz w:val="21"/>
        </w:rPr>
        <w:t>该品种单价最高限价×折扣率（</w:t>
      </w:r>
      <w:r>
        <w:rPr>
          <w:sz w:val="21"/>
        </w:rPr>
        <w:t>%</w:t>
      </w:r>
      <w:r>
        <w:rPr>
          <w:sz w:val="21"/>
        </w:rPr>
        <w:t>）。</w:t>
      </w:r>
      <w:r>
        <w:rPr>
          <w:sz w:val="21"/>
        </w:rPr>
        <w:t>投标人须对所有商品报相同的折扣率。</w:t>
      </w:r>
    </w:p>
    <w:p>
      <w:pPr>
        <w:jc w:val="both"/>
      </w:pPr>
    </w:p>
    <w:p>
      <w:pPr>
        <w:jc w:val="both"/>
      </w:pPr>
      <w:r>
        <w:rPr>
          <w:sz w:val="21"/>
        </w:rPr>
        <w:t>例如：投标人报折扣率为</w:t>
      </w:r>
      <w:r>
        <w:rPr>
          <w:sz w:val="21"/>
        </w:rPr>
        <w:t>80%</w:t>
      </w:r>
      <w:r>
        <w:rPr>
          <w:sz w:val="21"/>
        </w:rPr>
        <w:t>，结算价为该品种单价最高限价×</w:t>
      </w:r>
      <w:r>
        <w:rPr>
          <w:sz w:val="21"/>
        </w:rPr>
        <w:t>80%</w:t>
      </w:r>
      <w:r>
        <w:rPr>
          <w:sz w:val="21"/>
        </w:rPr>
        <w:t>。</w:t>
      </w:r>
    </w:p>
    <w:p>
      <w:pPr>
        <w:numPr>
          <w:ilvl w:val="0"/>
          <w:numId w:val="1"/>
        </w:numPr>
        <w:jc w:val="both"/>
      </w:pPr>
      <w:r>
        <w:rPr>
          <w:b/>
          <w:sz w:val="21"/>
        </w:rPr>
        <w:t>采购清单：</w:t>
      </w:r>
    </w:p>
    <w:tbl>
      <w:tblPr>
        <w:tblW w:w="0" w:type="auto"/>
        <w:tblBorders>
          <w:top w:val="single"/>
          <w:left w:val="single"/>
          <w:bottom w:val="single"/>
          <w:right w:val="single"/>
          <w:insideH w:val="single"/>
          <w:insideV w:val="single"/>
        </w:tblBorders>
      </w:tblPr>
      <w:tblGrid>
        <w:gridCol w:w="527"/>
        <w:gridCol w:w="584"/>
        <w:gridCol w:w="897"/>
        <w:gridCol w:w="854"/>
        <w:gridCol w:w="584"/>
        <w:gridCol w:w="897"/>
        <w:gridCol w:w="997"/>
        <w:gridCol w:w="997"/>
        <w:gridCol w:w="997"/>
        <w:gridCol w:w="997"/>
      </w:tblGrid>
      <w:tr>
        <w:tc>
          <w:tcPr>
            <w:tcW w:type="dxa" w:w="527"/>
            <w:tcBorders>
              <w:top w:val="single" w:color="000000" w:sz="4"/>
              <w:left w:val="single" w:color="000000" w:sz="4"/>
              <w:bottom w:val="single" w:color="000000" w:sz="4"/>
              <w:right w:val="single" w:color="000000" w:sz="4"/>
            </w:tcBorders>
          </w:tcPr>
          <w:p>
            <w:pPr>
              <w:jc w:val="both"/>
            </w:pPr>
            <w:r>
              <w:rPr>
                <w:sz w:val="21"/>
              </w:rPr>
              <w:t>序号</w:t>
            </w:r>
          </w:p>
        </w:tc>
        <w:tc>
          <w:tcPr>
            <w:tcW w:type="dxa" w:w="584"/>
            <w:tcBorders>
              <w:top w:val="single" w:color="000000" w:sz="4"/>
              <w:left w:val="none" w:color="000000" w:sz="4"/>
              <w:bottom w:val="single" w:color="000000" w:sz="4"/>
              <w:right w:val="single" w:color="000000" w:sz="4"/>
            </w:tcBorders>
          </w:tcPr>
          <w:p>
            <w:pPr>
              <w:jc w:val="both"/>
            </w:pPr>
            <w:r>
              <w:rPr>
                <w:sz w:val="21"/>
              </w:rPr>
              <w:t>类别</w:t>
            </w:r>
          </w:p>
        </w:tc>
        <w:tc>
          <w:tcPr>
            <w:tcW w:type="dxa" w:w="897"/>
            <w:tcBorders>
              <w:top w:val="single" w:color="000000" w:sz="4"/>
              <w:left w:val="none" w:color="000000" w:sz="4"/>
              <w:bottom w:val="single" w:color="000000" w:sz="4"/>
              <w:right w:val="single" w:color="000000" w:sz="4"/>
            </w:tcBorders>
          </w:tcPr>
          <w:p>
            <w:pPr>
              <w:jc w:val="both"/>
            </w:pPr>
            <w:r>
              <w:rPr>
                <w:sz w:val="21"/>
              </w:rPr>
              <w:t>商品</w:t>
            </w:r>
            <w:r>
              <w:br/>
            </w:r>
            <w:r>
              <w:rPr>
                <w:sz w:val="21"/>
              </w:rPr>
              <w:t>名称</w:t>
            </w:r>
          </w:p>
        </w:tc>
        <w:tc>
          <w:tcPr>
            <w:tcW w:type="dxa" w:w="854"/>
            <w:tcBorders>
              <w:top w:val="single" w:color="000000" w:sz="4"/>
              <w:left w:val="none" w:color="000000" w:sz="4"/>
              <w:bottom w:val="single" w:color="000000" w:sz="4"/>
              <w:right w:val="single" w:color="000000" w:sz="4"/>
            </w:tcBorders>
          </w:tcPr>
          <w:p>
            <w:pPr>
              <w:jc w:val="both"/>
            </w:pPr>
            <w:r>
              <w:rPr>
                <w:sz w:val="21"/>
              </w:rPr>
              <w:t>规格</w:t>
            </w:r>
          </w:p>
        </w:tc>
        <w:tc>
          <w:tcPr>
            <w:tcW w:type="dxa" w:w="584"/>
            <w:tcBorders>
              <w:top w:val="single" w:color="000000" w:sz="4"/>
              <w:left w:val="none" w:color="000000" w:sz="4"/>
              <w:bottom w:val="single" w:color="000000" w:sz="4"/>
              <w:right w:val="single" w:color="000000" w:sz="4"/>
            </w:tcBorders>
          </w:tcPr>
          <w:p>
            <w:pPr>
              <w:jc w:val="both"/>
            </w:pPr>
            <w:r>
              <w:rPr>
                <w:sz w:val="21"/>
              </w:rPr>
              <w:t>单位</w:t>
            </w:r>
          </w:p>
        </w:tc>
        <w:tc>
          <w:tcPr>
            <w:tcW w:type="dxa" w:w="897"/>
            <w:tcBorders>
              <w:top w:val="single" w:color="000000" w:sz="4"/>
              <w:left w:val="none" w:color="000000" w:sz="4"/>
              <w:bottom w:val="single" w:color="000000" w:sz="4"/>
              <w:right w:val="single" w:color="000000" w:sz="4"/>
            </w:tcBorders>
          </w:tcPr>
          <w:p>
            <w:pPr>
              <w:jc w:val="both"/>
            </w:pPr>
            <w:r>
              <w:rPr>
                <w:sz w:val="21"/>
              </w:rPr>
              <w:t>单价最高限价</w:t>
            </w:r>
            <w:r>
              <w:br/>
            </w:r>
            <w:r>
              <w:rPr>
                <w:sz w:val="21"/>
              </w:rPr>
              <w:t>（元）</w:t>
            </w:r>
          </w:p>
        </w:tc>
        <w:tc>
          <w:tcPr>
            <w:tcW w:type="dxa" w:w="997"/>
            <w:tcBorders>
              <w:top w:val="single" w:color="000000" w:sz="4"/>
              <w:left w:val="none" w:color="000000" w:sz="4"/>
              <w:bottom w:val="single" w:color="000000" w:sz="4"/>
              <w:right w:val="single" w:color="000000" w:sz="4"/>
            </w:tcBorders>
          </w:tcPr>
          <w:p>
            <w:pPr>
              <w:jc w:val="both"/>
            </w:pPr>
            <w:r>
              <w:rPr>
                <w:sz w:val="21"/>
              </w:rPr>
              <w:t>未成年犯</w:t>
            </w:r>
            <w:r>
              <w:br/>
            </w:r>
            <w:r>
              <w:rPr>
                <w:sz w:val="21"/>
              </w:rPr>
              <w:t>管教所采购量</w:t>
            </w:r>
          </w:p>
        </w:tc>
        <w:tc>
          <w:tcPr>
            <w:tcW w:type="dxa" w:w="997"/>
            <w:tcBorders>
              <w:top w:val="single" w:color="000000" w:sz="4"/>
              <w:left w:val="none" w:color="000000" w:sz="4"/>
              <w:bottom w:val="single" w:color="000000" w:sz="4"/>
              <w:right w:val="single" w:color="000000" w:sz="4"/>
            </w:tcBorders>
          </w:tcPr>
          <w:p>
            <w:pPr>
              <w:jc w:val="both"/>
            </w:pPr>
            <w:r>
              <w:rPr>
                <w:sz w:val="21"/>
              </w:rPr>
              <w:t>广东省</w:t>
            </w:r>
            <w:r>
              <w:br/>
            </w:r>
            <w:r>
              <w:rPr>
                <w:sz w:val="21"/>
              </w:rPr>
              <w:t>女子监狱采购量</w:t>
            </w:r>
          </w:p>
        </w:tc>
        <w:tc>
          <w:tcPr>
            <w:tcW w:type="dxa" w:w="997"/>
            <w:tcBorders>
              <w:top w:val="single" w:color="000000" w:sz="4"/>
              <w:left w:val="none" w:color="000000" w:sz="4"/>
              <w:bottom w:val="single" w:color="000000" w:sz="4"/>
              <w:right w:val="single" w:color="000000" w:sz="4"/>
            </w:tcBorders>
          </w:tcPr>
          <w:p>
            <w:pPr>
              <w:jc w:val="both"/>
            </w:pPr>
            <w:r>
              <w:rPr>
                <w:sz w:val="21"/>
              </w:rPr>
              <w:t>广东省</w:t>
            </w:r>
            <w:r>
              <w:br/>
            </w:r>
            <w:r>
              <w:rPr>
                <w:sz w:val="21"/>
              </w:rPr>
              <w:t>广州监狱采购量</w:t>
            </w:r>
          </w:p>
        </w:tc>
        <w:tc>
          <w:tcPr>
            <w:tcW w:type="dxa" w:w="997"/>
            <w:tcBorders>
              <w:top w:val="single" w:color="000000" w:sz="4"/>
              <w:left w:val="none" w:color="000000" w:sz="4"/>
              <w:bottom w:val="single" w:color="000000" w:sz="4"/>
              <w:right w:val="single" w:color="000000" w:sz="4"/>
            </w:tcBorders>
          </w:tcPr>
          <w:p>
            <w:pPr>
              <w:jc w:val="both"/>
            </w:pPr>
            <w:r>
              <w:rPr>
                <w:sz w:val="21"/>
              </w:rPr>
              <w:t>监狱</w:t>
            </w:r>
            <w:r>
              <w:br/>
            </w:r>
            <w:r>
              <w:rPr>
                <w:sz w:val="21"/>
              </w:rPr>
              <w:t>中心医院采购量</w:t>
            </w:r>
          </w:p>
        </w:tc>
      </w:tr>
      <w:tr>
        <w:tc>
          <w:tcPr>
            <w:tcW w:type="dxa" w:w="527"/>
            <w:tcBorders>
              <w:top w:val="none" w:color="000000" w:sz="4"/>
              <w:left w:val="single" w:color="000000" w:sz="4"/>
              <w:bottom w:val="single" w:color="000000" w:sz="4"/>
              <w:right w:val="single" w:color="000000" w:sz="4"/>
            </w:tcBorders>
          </w:tcPr>
          <w:p>
            <w:pPr>
              <w:jc w:val="both"/>
            </w:pPr>
            <w:r>
              <w:rPr>
                <w:sz w:val="21"/>
              </w:rPr>
              <w:t>1</w:t>
            </w:r>
          </w:p>
        </w:tc>
        <w:tc>
          <w:tcPr>
            <w:tcW w:type="dxa" w:w="584"/>
            <w:tcBorders>
              <w:top w:val="none" w:color="000000" w:sz="4"/>
              <w:left w:val="none" w:color="000000" w:sz="4"/>
              <w:bottom w:val="single" w:color="000000" w:sz="4"/>
              <w:right w:val="single" w:color="000000" w:sz="4"/>
            </w:tcBorders>
          </w:tcPr>
          <w:p>
            <w:pPr>
              <w:jc w:val="both"/>
            </w:pPr>
            <w:r>
              <w:rPr>
                <w:sz w:val="21"/>
              </w:rPr>
              <w:t>大米</w:t>
            </w:r>
          </w:p>
        </w:tc>
        <w:tc>
          <w:tcPr>
            <w:tcW w:type="dxa" w:w="897"/>
            <w:tcBorders>
              <w:top w:val="none" w:color="000000" w:sz="4"/>
              <w:left w:val="none" w:color="000000" w:sz="4"/>
              <w:bottom w:val="single" w:color="000000" w:sz="4"/>
              <w:right w:val="single" w:color="000000" w:sz="4"/>
            </w:tcBorders>
          </w:tcPr>
          <w:p>
            <w:pPr>
              <w:jc w:val="both"/>
            </w:pPr>
            <w:r>
              <w:rPr>
                <w:sz w:val="21"/>
              </w:rPr>
              <w:t>籼米</w:t>
            </w:r>
          </w:p>
        </w:tc>
        <w:tc>
          <w:tcPr>
            <w:tcW w:type="dxa" w:w="854"/>
            <w:tcBorders>
              <w:top w:val="none" w:color="000000" w:sz="4"/>
              <w:left w:val="none" w:color="000000" w:sz="4"/>
              <w:bottom w:val="single" w:color="000000" w:sz="4"/>
              <w:right w:val="single" w:color="000000" w:sz="4"/>
            </w:tcBorders>
          </w:tcPr>
          <w:p>
            <w:pPr>
              <w:jc w:val="both"/>
            </w:pPr>
            <w:r>
              <w:rPr>
                <w:sz w:val="21"/>
              </w:rPr>
              <w:t>二级籼米，</w:t>
            </w:r>
            <w:r>
              <w:rPr>
                <w:sz w:val="21"/>
              </w:rPr>
              <w:t>50</w:t>
            </w:r>
            <w:r>
              <w:rPr>
                <w:sz w:val="21"/>
              </w:rPr>
              <w:t>公斤</w:t>
            </w:r>
            <w:r>
              <w:rPr>
                <w:sz w:val="21"/>
              </w:rPr>
              <w:t>/</w:t>
            </w:r>
            <w:r>
              <w:rPr>
                <w:sz w:val="21"/>
              </w:rPr>
              <w:t>包（或</w:t>
            </w:r>
            <w:r>
              <w:rPr>
                <w:sz w:val="21"/>
              </w:rPr>
              <w:t>25</w:t>
            </w:r>
            <w:r>
              <w:rPr>
                <w:sz w:val="21"/>
              </w:rPr>
              <w:t>公斤</w:t>
            </w:r>
            <w:r>
              <w:rPr>
                <w:sz w:val="21"/>
              </w:rPr>
              <w:t>/</w:t>
            </w:r>
            <w:r>
              <w:rPr>
                <w:sz w:val="21"/>
              </w:rPr>
              <w:t>包）</w:t>
            </w:r>
          </w:p>
        </w:tc>
        <w:tc>
          <w:tcPr>
            <w:tcW w:type="dxa" w:w="584"/>
            <w:tcBorders>
              <w:top w:val="none" w:color="000000" w:sz="4"/>
              <w:left w:val="none" w:color="000000" w:sz="4"/>
              <w:bottom w:val="single" w:color="000000" w:sz="4"/>
              <w:right w:val="single" w:color="000000" w:sz="4"/>
            </w:tcBorders>
          </w:tcPr>
          <w:p>
            <w:pPr>
              <w:jc w:val="both"/>
            </w:pPr>
            <w:r>
              <w:rPr>
                <w:sz w:val="21"/>
              </w:rPr>
              <w:t>公斤</w:t>
            </w:r>
          </w:p>
        </w:tc>
        <w:tc>
          <w:tcPr>
            <w:tcW w:type="dxa" w:w="897"/>
            <w:tcBorders>
              <w:top w:val="none" w:color="000000" w:sz="4"/>
              <w:left w:val="none" w:color="000000" w:sz="4"/>
              <w:bottom w:val="single" w:color="000000" w:sz="4"/>
              <w:right w:val="single" w:color="000000" w:sz="4"/>
            </w:tcBorders>
          </w:tcPr>
          <w:p>
            <w:pPr>
              <w:jc w:val="both"/>
            </w:pPr>
            <w:r>
              <w:rPr>
                <w:sz w:val="21"/>
              </w:rPr>
              <w:t>4.38</w:t>
            </w:r>
          </w:p>
          <w:p>
            <w:pPr>
              <w:jc w:val="both"/>
            </w:pPr>
          </w:p>
        </w:tc>
        <w:tc>
          <w:tcPr>
            <w:tcW w:type="dxa" w:w="997"/>
            <w:tcBorders>
              <w:top w:val="none" w:color="000000" w:sz="4"/>
              <w:left w:val="none" w:color="000000" w:sz="4"/>
              <w:bottom w:val="single" w:color="000000" w:sz="4"/>
              <w:right w:val="single" w:color="000000" w:sz="4"/>
            </w:tcBorders>
          </w:tcPr>
          <w:p>
            <w:pPr>
              <w:jc w:val="both"/>
            </w:pPr>
            <w:r>
              <w:rPr>
                <w:sz w:val="21"/>
              </w:rPr>
              <w:t>249600</w:t>
            </w:r>
          </w:p>
        </w:tc>
        <w:tc>
          <w:tcPr>
            <w:tcW w:type="dxa" w:w="997"/>
            <w:tcBorders>
              <w:top w:val="none" w:color="000000" w:sz="4"/>
              <w:left w:val="none" w:color="000000" w:sz="4"/>
              <w:bottom w:val="single" w:color="000000" w:sz="4"/>
              <w:right w:val="single" w:color="000000" w:sz="4"/>
            </w:tcBorders>
          </w:tcPr>
          <w:p>
            <w:pPr>
              <w:jc w:val="both"/>
            </w:pPr>
            <w:r>
              <w:rPr>
                <w:sz w:val="21"/>
              </w:rPr>
              <w:t>850000</w:t>
            </w:r>
          </w:p>
        </w:tc>
        <w:tc>
          <w:tcPr>
            <w:tcW w:type="dxa" w:w="997"/>
            <w:tcBorders>
              <w:top w:val="none" w:color="000000" w:sz="4"/>
              <w:left w:val="none" w:color="000000" w:sz="4"/>
              <w:bottom w:val="single" w:color="000000" w:sz="4"/>
              <w:right w:val="single" w:color="000000" w:sz="4"/>
            </w:tcBorders>
          </w:tcPr>
          <w:p>
            <w:pPr>
              <w:jc w:val="both"/>
            </w:pPr>
            <w:r>
              <w:rPr>
                <w:sz w:val="21"/>
              </w:rPr>
              <w:t>288000</w:t>
            </w:r>
          </w:p>
        </w:tc>
        <w:tc>
          <w:tcPr>
            <w:tcW w:type="dxa" w:w="997"/>
            <w:tcBorders>
              <w:top w:val="none" w:color="000000" w:sz="4"/>
              <w:left w:val="none" w:color="000000" w:sz="4"/>
              <w:bottom w:val="single" w:color="000000" w:sz="4"/>
              <w:right w:val="single" w:color="000000" w:sz="4"/>
            </w:tcBorders>
          </w:tcPr>
          <w:p>
            <w:pPr>
              <w:jc w:val="both"/>
            </w:pPr>
            <w:r>
              <w:rPr>
                <w:sz w:val="21"/>
              </w:rPr>
              <w:t>41568</w:t>
            </w:r>
          </w:p>
        </w:tc>
      </w:tr>
      <w:tr>
        <w:tc>
          <w:tcPr>
            <w:tcW w:type="dxa" w:w="527"/>
            <w:tcBorders>
              <w:top w:val="none" w:color="000000" w:sz="4"/>
              <w:left w:val="single" w:color="000000" w:sz="4"/>
              <w:bottom w:val="single" w:color="000000" w:sz="4"/>
              <w:right w:val="single" w:color="000000" w:sz="4"/>
            </w:tcBorders>
          </w:tcPr>
          <w:p>
            <w:pPr>
              <w:jc w:val="both"/>
            </w:pPr>
            <w:r>
              <w:rPr>
                <w:sz w:val="21"/>
              </w:rPr>
              <w:t>2</w:t>
            </w:r>
          </w:p>
        </w:tc>
        <w:tc>
          <w:tcPr>
            <w:tcW w:type="dxa" w:w="584"/>
            <w:vMerge w:val="restart"/>
            <w:tcBorders>
              <w:top w:val="none" w:color="000000" w:sz="4"/>
              <w:left w:val="none" w:color="000000" w:sz="4"/>
              <w:bottom w:val="single" w:color="000000" w:sz="4"/>
              <w:right w:val="single" w:color="000000" w:sz="4"/>
            </w:tcBorders>
          </w:tcPr>
          <w:p>
            <w:pPr>
              <w:jc w:val="both"/>
            </w:pPr>
            <w:r>
              <w:rPr>
                <w:sz w:val="21"/>
              </w:rPr>
              <w:t>食</w:t>
            </w:r>
            <w:r>
              <w:br/>
            </w:r>
            <w:r>
              <w:rPr>
                <w:sz w:val="21"/>
              </w:rPr>
              <w:t>用</w:t>
            </w:r>
            <w:r>
              <w:br/>
            </w:r>
            <w:r>
              <w:rPr>
                <w:sz w:val="21"/>
              </w:rPr>
              <w:t>油</w:t>
            </w:r>
          </w:p>
        </w:tc>
        <w:tc>
          <w:tcPr>
            <w:tcW w:type="dxa" w:w="897"/>
            <w:tcBorders>
              <w:top w:val="none" w:color="000000" w:sz="4"/>
              <w:left w:val="none" w:color="000000" w:sz="4"/>
              <w:bottom w:val="single" w:color="000000" w:sz="4"/>
              <w:right w:val="single" w:color="000000" w:sz="4"/>
            </w:tcBorders>
          </w:tcPr>
          <w:p>
            <w:pPr>
              <w:jc w:val="both"/>
            </w:pPr>
            <w:r>
              <w:rPr>
                <w:sz w:val="21"/>
              </w:rPr>
              <w:t>大豆油</w:t>
            </w:r>
          </w:p>
        </w:tc>
        <w:tc>
          <w:tcPr>
            <w:tcW w:type="dxa" w:w="854"/>
            <w:tcBorders>
              <w:top w:val="none" w:color="000000" w:sz="4"/>
              <w:left w:val="none" w:color="000000" w:sz="4"/>
              <w:bottom w:val="single" w:color="000000" w:sz="4"/>
              <w:right w:val="single" w:color="000000" w:sz="4"/>
            </w:tcBorders>
          </w:tcPr>
          <w:p>
            <w:pPr>
              <w:jc w:val="both"/>
            </w:pPr>
            <w:r>
              <w:rPr>
                <w:sz w:val="21"/>
              </w:rPr>
              <w:t>一级大豆油，</w:t>
            </w:r>
            <w:r>
              <w:rPr>
                <w:sz w:val="21"/>
              </w:rPr>
              <w:t>20</w:t>
            </w:r>
            <w:r>
              <w:rPr>
                <w:sz w:val="21"/>
              </w:rPr>
              <w:t>升</w:t>
            </w:r>
            <w:r>
              <w:rPr>
                <w:sz w:val="21"/>
              </w:rPr>
              <w:t>/</w:t>
            </w:r>
            <w:r>
              <w:rPr>
                <w:sz w:val="21"/>
              </w:rPr>
              <w:t>桶</w:t>
            </w:r>
          </w:p>
        </w:tc>
        <w:tc>
          <w:tcPr>
            <w:tcW w:type="dxa" w:w="584"/>
            <w:tcBorders>
              <w:top w:val="none" w:color="000000" w:sz="4"/>
              <w:left w:val="none" w:color="000000" w:sz="4"/>
              <w:bottom w:val="single" w:color="000000" w:sz="4"/>
              <w:right w:val="single" w:color="000000" w:sz="4"/>
            </w:tcBorders>
          </w:tcPr>
          <w:p>
            <w:pPr>
              <w:jc w:val="both"/>
            </w:pPr>
            <w:r>
              <w:rPr>
                <w:sz w:val="21"/>
              </w:rPr>
              <w:t>升</w:t>
            </w:r>
          </w:p>
        </w:tc>
        <w:tc>
          <w:tcPr>
            <w:tcW w:type="dxa" w:w="897"/>
            <w:tcBorders>
              <w:top w:val="none" w:color="000000" w:sz="4"/>
              <w:left w:val="none" w:color="000000" w:sz="4"/>
              <w:bottom w:val="single" w:color="000000" w:sz="4"/>
              <w:right w:val="single" w:color="000000" w:sz="4"/>
            </w:tcBorders>
          </w:tcPr>
          <w:p>
            <w:r>
              <w:rPr>
                <w:sz w:val="21"/>
              </w:rPr>
              <w:t>9.07</w:t>
            </w:r>
          </w:p>
          <w:p>
            <w:pPr>
              <w:jc w:val="both"/>
            </w:pPr>
          </w:p>
        </w:tc>
        <w:tc>
          <w:tcPr>
            <w:tcW w:type="dxa" w:w="997"/>
            <w:tcBorders>
              <w:top w:val="none" w:color="000000" w:sz="4"/>
              <w:left w:val="none" w:color="000000" w:sz="4"/>
              <w:bottom w:val="single" w:color="000000" w:sz="4"/>
              <w:right w:val="single" w:color="000000" w:sz="4"/>
            </w:tcBorders>
          </w:tcPr>
          <w:p>
            <w:pPr>
              <w:jc w:val="both"/>
            </w:pPr>
            <w:r>
              <w:rPr>
                <w:sz w:val="21"/>
              </w:rPr>
              <w:t>20400</w:t>
            </w:r>
          </w:p>
        </w:tc>
        <w:tc>
          <w:tcPr>
            <w:tcW w:type="dxa" w:w="997"/>
            <w:tcBorders>
              <w:top w:val="none" w:color="000000" w:sz="4"/>
              <w:left w:val="none" w:color="000000" w:sz="4"/>
              <w:bottom w:val="single" w:color="000000" w:sz="4"/>
              <w:right w:val="single" w:color="000000" w:sz="4"/>
            </w:tcBorders>
          </w:tcPr>
          <w:p>
            <w:pPr>
              <w:jc w:val="both"/>
            </w:pPr>
            <w:r>
              <w:rPr>
                <w:sz w:val="21"/>
              </w:rPr>
              <w:t>115500</w:t>
            </w:r>
          </w:p>
        </w:tc>
        <w:tc>
          <w:tcPr>
            <w:tcW w:type="dxa" w:w="997"/>
            <w:tcBorders>
              <w:top w:val="none" w:color="000000" w:sz="4"/>
              <w:left w:val="none" w:color="000000" w:sz="4"/>
              <w:bottom w:val="single" w:color="000000" w:sz="4"/>
              <w:right w:val="single" w:color="000000" w:sz="4"/>
            </w:tcBorders>
          </w:tcPr>
          <w:p>
            <w:pPr>
              <w:jc w:val="both"/>
            </w:pPr>
            <w:r>
              <w:rPr>
                <w:sz w:val="21"/>
              </w:rPr>
              <w:t>22800</w:t>
            </w:r>
          </w:p>
        </w:tc>
        <w:tc>
          <w:tcPr>
            <w:tcW w:type="dxa" w:w="997"/>
            <w:tcBorders>
              <w:top w:val="none" w:color="000000" w:sz="4"/>
              <w:left w:val="none" w:color="000000" w:sz="4"/>
              <w:bottom w:val="single" w:color="000000" w:sz="4"/>
              <w:right w:val="single" w:color="000000" w:sz="4"/>
            </w:tcBorders>
          </w:tcPr>
          <w:p>
            <w:pPr>
              <w:jc w:val="both"/>
            </w:pPr>
            <w:r>
              <w:rPr>
                <w:sz w:val="21"/>
              </w:rPr>
              <w:t>6495</w:t>
            </w:r>
          </w:p>
        </w:tc>
      </w:tr>
      <w:tr>
        <w:tc>
          <w:tcPr>
            <w:tcW w:type="dxa" w:w="527"/>
            <w:tcBorders>
              <w:top w:val="none" w:color="000000" w:sz="4"/>
              <w:left w:val="single" w:color="000000" w:sz="4"/>
              <w:bottom w:val="single" w:color="000000" w:sz="4"/>
              <w:right w:val="single" w:color="000000" w:sz="4"/>
            </w:tcBorders>
          </w:tcPr>
          <w:p>
            <w:pPr>
              <w:jc w:val="both"/>
            </w:pPr>
            <w:r>
              <w:rPr>
                <w:sz w:val="21"/>
              </w:rPr>
              <w:t>3</w:t>
            </w:r>
          </w:p>
        </w:tc>
        <w:tc>
          <w:tcPr>
            <w:tcW w:type="dxa" w:w="584"/>
            <w:vMerge/>
            <w:tcBorders>
              <w:top w:val="none" w:color="000000" w:sz="4"/>
              <w:left w:val="none" w:color="000000" w:sz="4"/>
              <w:bottom w:val="single" w:color="000000" w:sz="4"/>
              <w:right w:val="single" w:color="000000" w:sz="4"/>
            </w:tcBorders>
          </w:tcPr>
          <w:p/>
        </w:tc>
        <w:tc>
          <w:tcPr>
            <w:tcW w:type="dxa" w:w="897"/>
            <w:tcBorders>
              <w:top w:val="none" w:color="000000" w:sz="4"/>
              <w:left w:val="none" w:color="000000" w:sz="4"/>
              <w:bottom w:val="single" w:color="000000" w:sz="4"/>
              <w:right w:val="single" w:color="000000" w:sz="4"/>
            </w:tcBorders>
          </w:tcPr>
          <w:p>
            <w:pPr>
              <w:jc w:val="both"/>
            </w:pPr>
            <w:r>
              <w:rPr>
                <w:sz w:val="21"/>
              </w:rPr>
              <w:t>花生油</w:t>
            </w:r>
          </w:p>
        </w:tc>
        <w:tc>
          <w:tcPr>
            <w:tcW w:type="dxa" w:w="854"/>
            <w:tcBorders>
              <w:top w:val="none" w:color="000000" w:sz="4"/>
              <w:left w:val="none" w:color="000000" w:sz="4"/>
              <w:bottom w:val="single" w:color="000000" w:sz="4"/>
              <w:right w:val="single" w:color="000000" w:sz="4"/>
            </w:tcBorders>
          </w:tcPr>
          <w:p>
            <w:pPr>
              <w:jc w:val="both"/>
            </w:pPr>
            <w:r>
              <w:rPr>
                <w:sz w:val="21"/>
              </w:rPr>
              <w:t>一级花生油，</w:t>
            </w:r>
            <w:r>
              <w:rPr>
                <w:sz w:val="21"/>
              </w:rPr>
              <w:t>20</w:t>
            </w:r>
            <w:r>
              <w:rPr>
                <w:sz w:val="21"/>
              </w:rPr>
              <w:t>升</w:t>
            </w:r>
            <w:r>
              <w:rPr>
                <w:sz w:val="21"/>
              </w:rPr>
              <w:t>/</w:t>
            </w:r>
            <w:r>
              <w:rPr>
                <w:sz w:val="21"/>
              </w:rPr>
              <w:t>桶</w:t>
            </w:r>
          </w:p>
        </w:tc>
        <w:tc>
          <w:tcPr>
            <w:tcW w:type="dxa" w:w="584"/>
            <w:tcBorders>
              <w:top w:val="none" w:color="000000" w:sz="4"/>
              <w:left w:val="none" w:color="000000" w:sz="4"/>
              <w:bottom w:val="single" w:color="000000" w:sz="4"/>
              <w:right w:val="single" w:color="000000" w:sz="4"/>
            </w:tcBorders>
          </w:tcPr>
          <w:p>
            <w:pPr>
              <w:jc w:val="both"/>
            </w:pPr>
            <w:r>
              <w:rPr>
                <w:sz w:val="21"/>
              </w:rPr>
              <w:t>升</w:t>
            </w:r>
          </w:p>
        </w:tc>
        <w:tc>
          <w:tcPr>
            <w:tcW w:type="dxa" w:w="897"/>
            <w:tcBorders>
              <w:top w:val="none" w:color="000000" w:sz="4"/>
              <w:left w:val="none" w:color="000000" w:sz="4"/>
              <w:bottom w:val="single" w:color="000000" w:sz="4"/>
              <w:right w:val="single" w:color="000000" w:sz="4"/>
            </w:tcBorders>
          </w:tcPr>
          <w:p>
            <w:r>
              <w:rPr>
                <w:sz w:val="21"/>
              </w:rPr>
              <w:t>16.83</w:t>
            </w:r>
          </w:p>
          <w:p>
            <w:pPr>
              <w:jc w:val="both"/>
            </w:pPr>
          </w:p>
        </w:tc>
        <w:tc>
          <w:tcPr>
            <w:tcW w:type="dxa" w:w="997"/>
            <w:tcBorders>
              <w:top w:val="none" w:color="000000" w:sz="4"/>
              <w:left w:val="none" w:color="000000" w:sz="4"/>
              <w:bottom w:val="single" w:color="000000" w:sz="4"/>
              <w:right w:val="single" w:color="000000" w:sz="4"/>
            </w:tcBorders>
          </w:tcPr>
          <w:p>
            <w:pPr>
              <w:jc w:val="both"/>
            </w:pPr>
            <w:r>
              <w:rPr>
                <w:sz w:val="21"/>
              </w:rPr>
              <w:t>0</w:t>
            </w:r>
          </w:p>
        </w:tc>
        <w:tc>
          <w:tcPr>
            <w:tcW w:type="dxa" w:w="997"/>
            <w:tcBorders>
              <w:top w:val="none" w:color="000000" w:sz="4"/>
              <w:left w:val="none" w:color="000000" w:sz="4"/>
              <w:bottom w:val="single" w:color="000000" w:sz="4"/>
              <w:right w:val="single" w:color="000000" w:sz="4"/>
            </w:tcBorders>
          </w:tcPr>
          <w:p>
            <w:pPr>
              <w:jc w:val="both"/>
            </w:pPr>
            <w:r>
              <w:rPr>
                <w:sz w:val="21"/>
              </w:rPr>
              <w:t>3000</w:t>
            </w:r>
          </w:p>
        </w:tc>
        <w:tc>
          <w:tcPr>
            <w:tcW w:type="dxa" w:w="997"/>
            <w:tcBorders>
              <w:top w:val="none" w:color="000000" w:sz="4"/>
              <w:left w:val="none" w:color="000000" w:sz="4"/>
              <w:bottom w:val="single" w:color="000000" w:sz="4"/>
              <w:right w:val="single" w:color="000000" w:sz="4"/>
            </w:tcBorders>
          </w:tcPr>
          <w:p>
            <w:pPr>
              <w:jc w:val="both"/>
            </w:pPr>
            <w:r>
              <w:rPr>
                <w:sz w:val="21"/>
              </w:rPr>
              <w:t>6000</w:t>
            </w:r>
          </w:p>
        </w:tc>
        <w:tc>
          <w:tcPr>
            <w:tcW w:type="dxa" w:w="997"/>
            <w:tcBorders>
              <w:top w:val="none" w:color="000000" w:sz="4"/>
              <w:left w:val="none" w:color="000000" w:sz="4"/>
              <w:bottom w:val="single" w:color="000000" w:sz="4"/>
              <w:right w:val="single" w:color="000000" w:sz="4"/>
            </w:tcBorders>
          </w:tcPr>
          <w:p>
            <w:pPr>
              <w:jc w:val="both"/>
            </w:pPr>
            <w:r>
              <w:rPr>
                <w:sz w:val="21"/>
              </w:rPr>
              <w:t>0</w:t>
            </w:r>
          </w:p>
        </w:tc>
      </w:tr>
      <w:tr>
        <w:tc>
          <w:tcPr>
            <w:tcW w:type="dxa" w:w="527"/>
            <w:tcBorders>
              <w:top w:val="none" w:color="000000" w:sz="4"/>
              <w:left w:val="single" w:color="000000" w:sz="4"/>
              <w:bottom w:val="single" w:color="000000" w:sz="4"/>
              <w:right w:val="single" w:color="000000" w:sz="4"/>
            </w:tcBorders>
          </w:tcPr>
          <w:p>
            <w:pPr>
              <w:jc w:val="both"/>
            </w:pPr>
            <w:r>
              <w:rPr>
                <w:sz w:val="21"/>
              </w:rPr>
              <w:t>4</w:t>
            </w:r>
          </w:p>
        </w:tc>
        <w:tc>
          <w:tcPr>
            <w:tcW w:type="dxa" w:w="584"/>
            <w:vMerge/>
            <w:tcBorders>
              <w:top w:val="none" w:color="000000" w:sz="4"/>
              <w:left w:val="none" w:color="000000" w:sz="4"/>
              <w:bottom w:val="single" w:color="000000" w:sz="4"/>
              <w:right w:val="single" w:color="000000" w:sz="4"/>
            </w:tcBorders>
          </w:tcPr>
          <w:p/>
        </w:tc>
        <w:tc>
          <w:tcPr>
            <w:tcW w:type="dxa" w:w="897"/>
            <w:tcBorders>
              <w:top w:val="none" w:color="000000" w:sz="4"/>
              <w:left w:val="none" w:color="000000" w:sz="4"/>
              <w:bottom w:val="single" w:color="000000" w:sz="4"/>
              <w:right w:val="single" w:color="000000" w:sz="4"/>
            </w:tcBorders>
          </w:tcPr>
          <w:p>
            <w:pPr>
              <w:jc w:val="both"/>
            </w:pPr>
            <w:r>
              <w:rPr>
                <w:sz w:val="21"/>
              </w:rPr>
              <w:t>玉米油</w:t>
            </w:r>
          </w:p>
        </w:tc>
        <w:tc>
          <w:tcPr>
            <w:tcW w:type="dxa" w:w="854"/>
            <w:tcBorders>
              <w:top w:val="none" w:color="000000" w:sz="4"/>
              <w:left w:val="none" w:color="000000" w:sz="4"/>
              <w:bottom w:val="single" w:color="000000" w:sz="4"/>
              <w:right w:val="single" w:color="000000" w:sz="4"/>
            </w:tcBorders>
          </w:tcPr>
          <w:p>
            <w:pPr>
              <w:jc w:val="both"/>
            </w:pPr>
            <w:r>
              <w:rPr>
                <w:sz w:val="21"/>
              </w:rPr>
              <w:t>一级玉米油，</w:t>
            </w:r>
            <w:r>
              <w:rPr>
                <w:sz w:val="21"/>
              </w:rPr>
              <w:t>20</w:t>
            </w:r>
            <w:r>
              <w:rPr>
                <w:sz w:val="21"/>
              </w:rPr>
              <w:t>升</w:t>
            </w:r>
            <w:r>
              <w:rPr>
                <w:sz w:val="21"/>
              </w:rPr>
              <w:t>/</w:t>
            </w:r>
            <w:r>
              <w:rPr>
                <w:sz w:val="21"/>
              </w:rPr>
              <w:t>桶</w:t>
            </w:r>
          </w:p>
        </w:tc>
        <w:tc>
          <w:tcPr>
            <w:tcW w:type="dxa" w:w="584"/>
            <w:tcBorders>
              <w:top w:val="none" w:color="000000" w:sz="4"/>
              <w:left w:val="none" w:color="000000" w:sz="4"/>
              <w:bottom w:val="single" w:color="000000" w:sz="4"/>
              <w:right w:val="single" w:color="000000" w:sz="4"/>
            </w:tcBorders>
          </w:tcPr>
          <w:p>
            <w:pPr>
              <w:jc w:val="both"/>
            </w:pPr>
            <w:r>
              <w:rPr>
                <w:sz w:val="21"/>
              </w:rPr>
              <w:t>升</w:t>
            </w:r>
          </w:p>
        </w:tc>
        <w:tc>
          <w:tcPr>
            <w:tcW w:type="dxa" w:w="897"/>
            <w:tcBorders>
              <w:top w:val="none" w:color="000000" w:sz="4"/>
              <w:left w:val="none" w:color="000000" w:sz="4"/>
              <w:bottom w:val="single" w:color="000000" w:sz="4"/>
              <w:right w:val="single" w:color="000000" w:sz="4"/>
            </w:tcBorders>
          </w:tcPr>
          <w:p>
            <w:r>
              <w:rPr>
                <w:sz w:val="21"/>
              </w:rPr>
              <w:t>13.00</w:t>
            </w:r>
          </w:p>
          <w:p>
            <w:pPr>
              <w:jc w:val="both"/>
            </w:pPr>
          </w:p>
        </w:tc>
        <w:tc>
          <w:tcPr>
            <w:tcW w:type="dxa" w:w="997"/>
            <w:tcBorders>
              <w:top w:val="none" w:color="000000" w:sz="4"/>
              <w:left w:val="none" w:color="000000" w:sz="4"/>
              <w:bottom w:val="single" w:color="000000" w:sz="4"/>
              <w:right w:val="single" w:color="000000" w:sz="4"/>
            </w:tcBorders>
          </w:tcPr>
          <w:p>
            <w:pPr>
              <w:jc w:val="both"/>
            </w:pPr>
            <w:r>
              <w:rPr>
                <w:sz w:val="21"/>
              </w:rPr>
              <w:t>0</w:t>
            </w:r>
          </w:p>
        </w:tc>
        <w:tc>
          <w:tcPr>
            <w:tcW w:type="dxa" w:w="997"/>
            <w:tcBorders>
              <w:top w:val="none" w:color="000000" w:sz="4"/>
              <w:left w:val="none" w:color="000000" w:sz="4"/>
              <w:bottom w:val="single" w:color="000000" w:sz="4"/>
              <w:right w:val="single" w:color="000000" w:sz="4"/>
            </w:tcBorders>
          </w:tcPr>
          <w:p>
            <w:pPr>
              <w:jc w:val="both"/>
            </w:pPr>
            <w:r>
              <w:rPr>
                <w:sz w:val="21"/>
              </w:rPr>
              <w:t>3000</w:t>
            </w:r>
          </w:p>
        </w:tc>
        <w:tc>
          <w:tcPr>
            <w:tcW w:type="dxa" w:w="997"/>
            <w:tcBorders>
              <w:top w:val="none" w:color="000000" w:sz="4"/>
              <w:left w:val="none" w:color="000000" w:sz="4"/>
              <w:bottom w:val="single" w:color="000000" w:sz="4"/>
              <w:right w:val="single" w:color="000000" w:sz="4"/>
            </w:tcBorders>
          </w:tcPr>
          <w:p>
            <w:pPr>
              <w:jc w:val="both"/>
            </w:pPr>
            <w:r>
              <w:rPr>
                <w:sz w:val="21"/>
              </w:rPr>
              <w:t>0</w:t>
            </w:r>
          </w:p>
        </w:tc>
        <w:tc>
          <w:tcPr>
            <w:tcW w:type="dxa" w:w="997"/>
            <w:tcBorders>
              <w:top w:val="none" w:color="000000" w:sz="4"/>
              <w:left w:val="none" w:color="000000" w:sz="4"/>
              <w:bottom w:val="single" w:color="000000" w:sz="4"/>
              <w:right w:val="single" w:color="000000" w:sz="4"/>
            </w:tcBorders>
          </w:tcPr>
          <w:p>
            <w:pPr>
              <w:jc w:val="both"/>
            </w:pPr>
            <w:r>
              <w:rPr>
                <w:sz w:val="21"/>
              </w:rPr>
              <w:t>0</w:t>
            </w:r>
          </w:p>
        </w:tc>
      </w:tr>
    </w:tbl>
    <w:p>
      <w:pPr>
        <w:jc w:val="both"/>
      </w:pPr>
      <w:r>
        <w:rPr>
          <w:sz w:val="21"/>
        </w:rPr>
        <w:t>1</w:t>
      </w:r>
      <w:r>
        <w:rPr>
          <w:sz w:val="21"/>
        </w:rPr>
        <w:t>、本项目设籼米为核心产品。</w:t>
      </w:r>
    </w:p>
    <w:p>
      <w:pPr>
        <w:jc w:val="both"/>
      </w:pPr>
      <w:r>
        <w:rPr>
          <w:sz w:val="21"/>
        </w:rPr>
        <w:t>2</w:t>
      </w:r>
      <w:r>
        <w:rPr>
          <w:sz w:val="21"/>
        </w:rPr>
        <w:t>、清单中各商品需求数值为预估数，实际采购数量以各单位的采购计划为准（含采购清单数值为</w:t>
      </w:r>
      <w:r>
        <w:rPr>
          <w:sz w:val="21"/>
        </w:rPr>
        <w:t>0</w:t>
      </w:r>
      <w:r>
        <w:rPr>
          <w:sz w:val="21"/>
        </w:rPr>
        <w:t>的商品）。</w:t>
      </w:r>
    </w:p>
    <w:p>
      <w:pPr>
        <w:jc w:val="both"/>
      </w:pPr>
    </w:p>
    <w:p>
      <w:pPr>
        <w:jc w:val="both"/>
      </w:pPr>
      <w:r>
        <w:rPr>
          <w:b/>
          <w:sz w:val="21"/>
        </w:rPr>
        <w:t>（三）质量、安全及包装要求：</w:t>
      </w:r>
    </w:p>
    <w:p>
      <w:pPr>
        <w:jc w:val="both"/>
      </w:pPr>
      <w:r>
        <w:rPr>
          <w:sz w:val="21"/>
        </w:rPr>
        <w:t>1</w:t>
      </w:r>
      <w:r>
        <w:rPr>
          <w:sz w:val="21"/>
        </w:rPr>
        <w:t>．大米：</w:t>
      </w:r>
    </w:p>
    <w:p>
      <w:pPr>
        <w:jc w:val="both"/>
      </w:pPr>
      <w:r>
        <w:rPr>
          <w:sz w:val="21"/>
        </w:rPr>
        <w:t>▲①</w:t>
      </w:r>
      <w:r>
        <w:rPr>
          <w:sz w:val="21"/>
        </w:rPr>
        <w:t>不低于《</w:t>
      </w:r>
      <w:r>
        <w:rPr>
          <w:sz w:val="21"/>
        </w:rPr>
        <w:t>GB/T 1354-2018</w:t>
      </w:r>
      <w:r>
        <w:rPr>
          <w:sz w:val="21"/>
        </w:rPr>
        <w:t>大米》中二级籼米的要求，符合国家粮食卫生标准，剩余保质期不得少于原保质期的二分之一。</w:t>
      </w:r>
    </w:p>
    <w:p>
      <w:pPr>
        <w:jc w:val="both"/>
      </w:pPr>
      <w:r>
        <w:rPr>
          <w:sz w:val="21"/>
        </w:rPr>
        <w:t>投标人需提供用无色透明塑料袋密封包装的大米样品不少于</w:t>
      </w:r>
      <w:r>
        <w:rPr>
          <w:sz w:val="21"/>
        </w:rPr>
        <w:t>500g</w:t>
      </w:r>
      <w:r>
        <w:rPr>
          <w:sz w:val="21"/>
        </w:rPr>
        <w:t>（</w:t>
      </w:r>
      <w:r>
        <w:rPr>
          <w:sz w:val="21"/>
        </w:rPr>
        <w:t>4</w:t>
      </w:r>
      <w:r>
        <w:rPr>
          <w:sz w:val="21"/>
        </w:rPr>
        <w:t>份），中标样品将作为验收对照使用；每三个月监狱从验收合格的大米中抽取</w:t>
      </w:r>
      <w:r>
        <w:rPr>
          <w:sz w:val="21"/>
        </w:rPr>
        <w:t>500g</w:t>
      </w:r>
      <w:r>
        <w:rPr>
          <w:sz w:val="21"/>
        </w:rPr>
        <w:t>替换旧样品，以免样品变质影响验收。</w:t>
      </w:r>
    </w:p>
    <w:p>
      <w:pPr>
        <w:jc w:val="both"/>
      </w:pPr>
      <w:r>
        <w:rPr>
          <w:sz w:val="21"/>
        </w:rPr>
        <w:t>▲②</w:t>
      </w:r>
      <w:r>
        <w:rPr>
          <w:sz w:val="21"/>
        </w:rPr>
        <w:t>50</w:t>
      </w:r>
      <w:r>
        <w:rPr>
          <w:sz w:val="21"/>
        </w:rPr>
        <w:t>公斤</w:t>
      </w:r>
      <w:r>
        <w:rPr>
          <w:sz w:val="21"/>
        </w:rPr>
        <w:t>/</w:t>
      </w:r>
      <w:r>
        <w:rPr>
          <w:sz w:val="21"/>
        </w:rPr>
        <w:t>包（或</w:t>
      </w:r>
      <w:r>
        <w:rPr>
          <w:sz w:val="21"/>
        </w:rPr>
        <w:t>25</w:t>
      </w:r>
      <w:r>
        <w:rPr>
          <w:sz w:val="21"/>
        </w:rPr>
        <w:t>公斤</w:t>
      </w:r>
      <w:r>
        <w:rPr>
          <w:sz w:val="21"/>
        </w:rPr>
        <w:t>/</w:t>
      </w:r>
      <w:r>
        <w:rPr>
          <w:sz w:val="21"/>
        </w:rPr>
        <w:t>包），</w:t>
      </w:r>
      <w:r>
        <w:rPr>
          <w:sz w:val="21"/>
        </w:rPr>
        <w:t>包装符合《</w:t>
      </w:r>
      <w:r>
        <w:rPr>
          <w:sz w:val="21"/>
        </w:rPr>
        <w:t>GB/T 17109-2008</w:t>
      </w:r>
      <w:r>
        <w:rPr>
          <w:sz w:val="21"/>
        </w:rPr>
        <w:t>粮食销售包装》有关要求</w:t>
      </w:r>
      <w:r>
        <w:rPr>
          <w:sz w:val="21"/>
        </w:rPr>
        <w:t>，包装材料清洁、卫生，符合国家食品卫生标准的规定。标签需标明产品名称、净含量、生产商名称和地址、生产日期、保质期、产品标准号、质量等级、生产许可证号、产品批号等。</w:t>
      </w:r>
    </w:p>
    <w:p>
      <w:pPr>
        <w:jc w:val="both"/>
      </w:pPr>
      <w:r>
        <w:rPr>
          <w:b/>
          <w:sz w:val="21"/>
        </w:rPr>
        <w:t>以上商品在满足质量要求的前提下，只允许投报一个品牌（需在投标文件中列明品牌）。</w:t>
      </w:r>
    </w:p>
    <w:p>
      <w:pPr>
        <w:jc w:val="both"/>
      </w:pPr>
      <w:r>
        <w:rPr>
          <w:sz w:val="21"/>
        </w:rPr>
        <w:t>2</w:t>
      </w:r>
      <w:r>
        <w:rPr>
          <w:sz w:val="21"/>
        </w:rPr>
        <w:t>．食用油</w:t>
      </w:r>
    </w:p>
    <w:p>
      <w:pPr>
        <w:jc w:val="both"/>
      </w:pPr>
      <w:r>
        <w:rPr>
          <w:sz w:val="21"/>
        </w:rPr>
        <w:t>▲①</w:t>
      </w:r>
      <w:r>
        <w:rPr>
          <w:sz w:val="21"/>
        </w:rPr>
        <w:t>不低于《</w:t>
      </w:r>
      <w:r>
        <w:rPr>
          <w:sz w:val="21"/>
        </w:rPr>
        <w:t>GB/T 1535-2017</w:t>
      </w:r>
      <w:r>
        <w:rPr>
          <w:sz w:val="21"/>
        </w:rPr>
        <w:t>大豆油》《</w:t>
      </w:r>
      <w:r>
        <w:rPr>
          <w:sz w:val="21"/>
        </w:rPr>
        <w:t>GB/ T 1534-2017</w:t>
      </w:r>
      <w:r>
        <w:rPr>
          <w:sz w:val="21"/>
        </w:rPr>
        <w:t>花生油》《</w:t>
      </w:r>
      <w:r>
        <w:rPr>
          <w:sz w:val="21"/>
        </w:rPr>
        <w:t>GB/T 19111-2017</w:t>
      </w:r>
      <w:r>
        <w:rPr>
          <w:sz w:val="21"/>
        </w:rPr>
        <w:t>玉米油》中一级大豆油、一级花生油、一级玉米油的要求，不得掺有其它食用油或非食用油脂，不得添加任何香精、香料，剩余保质期不得少于原保质期的二分之一</w:t>
      </w:r>
      <w:r>
        <w:rPr>
          <w:sz w:val="21"/>
        </w:rPr>
        <w:t>。</w:t>
      </w:r>
    </w:p>
    <w:p>
      <w:pPr>
        <w:jc w:val="both"/>
      </w:pPr>
      <w:r>
        <w:rPr>
          <w:sz w:val="21"/>
        </w:rPr>
        <w:t>▲②</w:t>
      </w:r>
      <w:r>
        <w:rPr>
          <w:sz w:val="21"/>
        </w:rPr>
        <w:t>20L/</w:t>
      </w:r>
      <w:r>
        <w:rPr>
          <w:sz w:val="21"/>
        </w:rPr>
        <w:t>桶，</w:t>
      </w:r>
      <w:r>
        <w:rPr>
          <w:sz w:val="21"/>
        </w:rPr>
        <w:t>包装符合《</w:t>
      </w:r>
      <w:r>
        <w:rPr>
          <w:sz w:val="21"/>
        </w:rPr>
        <w:t>GB/T 17374-2008</w:t>
      </w:r>
      <w:r>
        <w:rPr>
          <w:sz w:val="21"/>
        </w:rPr>
        <w:t>食用植物油销售包装》有关要求</w:t>
      </w:r>
      <w:r>
        <w:rPr>
          <w:sz w:val="21"/>
        </w:rPr>
        <w:t>，包装材料清洁、卫生，符合国家食品卫生标准的规定。标签需标明产品名称、净含量、生产商名称和地址、生产日期、保质期、产品标准号、质量等级、生产许可证号、产品批号等。</w:t>
      </w:r>
    </w:p>
    <w:p>
      <w:pPr>
        <w:jc w:val="both"/>
      </w:pPr>
      <w:r>
        <w:rPr>
          <w:b/>
          <w:sz w:val="21"/>
        </w:rPr>
        <w:t>以上商品在满足质量要求的前提下，只允许投报一个品牌（需在投标文件中列明品牌）。</w:t>
      </w:r>
    </w:p>
    <w:p>
      <w:pPr>
        <w:jc w:val="both"/>
      </w:pPr>
      <w:r>
        <w:rPr>
          <w:sz w:val="21"/>
        </w:rPr>
        <w:t>3.</w:t>
      </w:r>
      <w:r>
        <w:rPr>
          <w:sz w:val="21"/>
        </w:rPr>
        <w:t>供应商针对项目有质量及安全保证措施，对投标产品的来源、加工、储存、运输各环节的质量保证及食品安全措施来源清晰具体，质量及安全保证各环节措施具体、完善。</w:t>
      </w:r>
    </w:p>
    <w:p>
      <w:pPr>
        <w:jc w:val="both"/>
      </w:pPr>
    </w:p>
    <w:p>
      <w:pPr>
        <w:jc w:val="both"/>
      </w:pPr>
      <w:r>
        <w:rPr>
          <w:b/>
          <w:sz w:val="21"/>
        </w:rPr>
        <w:t>四、合同签订及履约保证金</w:t>
      </w:r>
    </w:p>
    <w:p>
      <w:pPr>
        <w:jc w:val="both"/>
      </w:pPr>
      <w:r>
        <w:rPr>
          <w:sz w:val="21"/>
        </w:rPr>
        <w:t>（一）中标人与监狱在中标公告发布之日起三十日内签订合同。</w:t>
      </w:r>
    </w:p>
    <w:p>
      <w:pPr>
        <w:jc w:val="both"/>
      </w:pPr>
      <w:r>
        <w:rPr>
          <w:sz w:val="21"/>
        </w:rPr>
        <w:t>（二）合同签订后十五日内，中标人须向监狱支付预算金额</w:t>
      </w:r>
      <w:r>
        <w:rPr>
          <w:sz w:val="21"/>
        </w:rPr>
        <w:t>5%</w:t>
      </w:r>
      <w:r>
        <w:rPr>
          <w:sz w:val="21"/>
        </w:rPr>
        <w:t>的履约保证金。在中标人完成其合同义务，包括任何保证义务后三十日内，监狱应一次性无息退还履约保证金。</w:t>
      </w:r>
    </w:p>
    <w:p>
      <w:pPr>
        <w:jc w:val="both"/>
      </w:pPr>
      <w:r>
        <w:rPr>
          <w:sz w:val="21"/>
        </w:rPr>
        <w:t>履约保证金以支票、汇票、本票或者金融机构、担保机构出具的保函等非现金形式提交。中标人以银行保函形式缴纳履约保证金的，需提交不可撤销、见索即付的独立保函。</w:t>
      </w:r>
    </w:p>
    <w:p>
      <w:pPr>
        <w:jc w:val="both"/>
      </w:pPr>
      <w:r>
        <w:rPr>
          <w:sz w:val="21"/>
        </w:rPr>
        <w:t>（三）如在合同执行期间因中标人违约导致履约保证金部分或全部扣除的，中标人需在七日内补齐履约保证金。</w:t>
      </w:r>
    </w:p>
    <w:p>
      <w:pPr>
        <w:jc w:val="both"/>
      </w:pPr>
      <w:r>
        <w:rPr>
          <w:sz w:val="21"/>
        </w:rPr>
        <w:t>（四）发生以下情形之一、经调查属实的，每次扣除</w:t>
      </w:r>
      <w:r>
        <w:rPr>
          <w:sz w:val="21"/>
        </w:rPr>
        <w:t>10%</w:t>
      </w:r>
      <w:r>
        <w:rPr>
          <w:sz w:val="21"/>
        </w:rPr>
        <w:t>履约保证金：</w:t>
      </w:r>
    </w:p>
    <w:p>
      <w:pPr>
        <w:jc w:val="both"/>
      </w:pPr>
      <w:r>
        <w:rPr>
          <w:sz w:val="21"/>
        </w:rPr>
        <w:t>1</w:t>
      </w:r>
      <w:r>
        <w:rPr>
          <w:sz w:val="21"/>
        </w:rPr>
        <w:t>．未按要求随货提供相关票证；</w:t>
      </w:r>
    </w:p>
    <w:p>
      <w:pPr>
        <w:jc w:val="both"/>
      </w:pPr>
      <w:r>
        <w:rPr>
          <w:sz w:val="21"/>
        </w:rPr>
        <w:t>2</w:t>
      </w:r>
      <w:r>
        <w:rPr>
          <w:sz w:val="21"/>
        </w:rPr>
        <w:t>．当批次货物质量验收不合格，退货数量低于该批次货物总量</w:t>
      </w:r>
      <w:r>
        <w:rPr>
          <w:sz w:val="21"/>
        </w:rPr>
        <w:t>50%</w:t>
      </w:r>
      <w:r>
        <w:rPr>
          <w:sz w:val="21"/>
        </w:rPr>
        <w:t>（不含本数）的；</w:t>
      </w:r>
    </w:p>
    <w:p>
      <w:pPr>
        <w:jc w:val="both"/>
      </w:pPr>
      <w:r>
        <w:rPr>
          <w:sz w:val="21"/>
        </w:rPr>
        <w:t>3</w:t>
      </w:r>
      <w:r>
        <w:rPr>
          <w:sz w:val="21"/>
        </w:rPr>
        <w:t>．未经与监狱协商同意，当批次货物供应数量低于未管所该批次采购计划数量</w:t>
      </w:r>
      <w:r>
        <w:rPr>
          <w:sz w:val="21"/>
        </w:rPr>
        <w:t>50%</w:t>
      </w:r>
      <w:r>
        <w:rPr>
          <w:sz w:val="21"/>
        </w:rPr>
        <w:t>（不含本数）的；</w:t>
      </w:r>
    </w:p>
    <w:p>
      <w:pPr>
        <w:jc w:val="both"/>
      </w:pPr>
      <w:r>
        <w:rPr>
          <w:sz w:val="21"/>
        </w:rPr>
        <w:t>4</w:t>
      </w:r>
      <w:r>
        <w:rPr>
          <w:sz w:val="21"/>
        </w:rPr>
        <w:t>．未按监狱采购计划的时间供货（提前一天与监狱协商，且未影响罪犯伙食供应的除外）；</w:t>
      </w:r>
    </w:p>
    <w:p>
      <w:pPr>
        <w:jc w:val="both"/>
      </w:pPr>
      <w:r>
        <w:rPr>
          <w:sz w:val="21"/>
        </w:rPr>
        <w:t>5</w:t>
      </w:r>
      <w:r>
        <w:rPr>
          <w:sz w:val="21"/>
        </w:rPr>
        <w:t>．未按监狱指定地点、秩序卸货的；</w:t>
      </w:r>
    </w:p>
    <w:p>
      <w:pPr>
        <w:jc w:val="both"/>
      </w:pPr>
      <w:r>
        <w:rPr>
          <w:sz w:val="21"/>
        </w:rPr>
        <w:t>6</w:t>
      </w:r>
      <w:r>
        <w:rPr>
          <w:sz w:val="21"/>
        </w:rPr>
        <w:t>．货物出现质量问题，供应商不积极配合溯源及查找原因，不及时反馈处理结果的；</w:t>
      </w:r>
    </w:p>
    <w:p>
      <w:pPr>
        <w:jc w:val="both"/>
      </w:pPr>
      <w:r>
        <w:rPr>
          <w:sz w:val="21"/>
        </w:rPr>
        <w:t>7</w:t>
      </w:r>
      <w:r>
        <w:rPr>
          <w:sz w:val="21"/>
        </w:rPr>
        <w:t>．中标人经营场所、联系人、联系方式变更，未及时通知监狱业务部门，造成紧急情况下无法联系的。</w:t>
      </w:r>
    </w:p>
    <w:p>
      <w:pPr>
        <w:jc w:val="both"/>
      </w:pPr>
      <w:r>
        <w:rPr>
          <w:sz w:val="21"/>
        </w:rPr>
        <w:t>（五）发生以下情形之一、经调查属实的，每次扣除</w:t>
      </w:r>
      <w:r>
        <w:rPr>
          <w:sz w:val="21"/>
        </w:rPr>
        <w:t>20%</w:t>
      </w:r>
      <w:r>
        <w:rPr>
          <w:sz w:val="21"/>
        </w:rPr>
        <w:t>履约保证金：</w:t>
      </w:r>
    </w:p>
    <w:p>
      <w:pPr>
        <w:jc w:val="both"/>
      </w:pPr>
      <w:r>
        <w:rPr>
          <w:sz w:val="21"/>
        </w:rPr>
        <w:t>1</w:t>
      </w:r>
      <w:r>
        <w:rPr>
          <w:sz w:val="21"/>
        </w:rPr>
        <w:t>．供应货物品种、品牌、规格或质量等级与合同不符；</w:t>
      </w:r>
    </w:p>
    <w:p>
      <w:pPr>
        <w:jc w:val="both"/>
      </w:pPr>
      <w:r>
        <w:rPr>
          <w:sz w:val="21"/>
        </w:rPr>
        <w:t>2</w:t>
      </w:r>
      <w:r>
        <w:rPr>
          <w:sz w:val="21"/>
        </w:rPr>
        <w:t>．当批次货物质量验收不合格，且退货数量高于该批次货物总量</w:t>
      </w:r>
      <w:r>
        <w:rPr>
          <w:sz w:val="21"/>
        </w:rPr>
        <w:t>50%</w:t>
      </w:r>
      <w:r>
        <w:rPr>
          <w:sz w:val="21"/>
        </w:rPr>
        <w:t>（含本数）的；</w:t>
      </w:r>
    </w:p>
    <w:p>
      <w:pPr>
        <w:jc w:val="both"/>
      </w:pPr>
      <w:r>
        <w:rPr>
          <w:sz w:val="21"/>
        </w:rPr>
        <w:t>3</w:t>
      </w:r>
      <w:r>
        <w:rPr>
          <w:sz w:val="21"/>
        </w:rPr>
        <w:t>．提供虚假或伪造的货物质量检验、检测报告的；</w:t>
      </w:r>
    </w:p>
    <w:p>
      <w:pPr>
        <w:jc w:val="both"/>
      </w:pPr>
      <w:r>
        <w:rPr>
          <w:sz w:val="21"/>
        </w:rPr>
        <w:t>4</w:t>
      </w:r>
      <w:r>
        <w:rPr>
          <w:sz w:val="21"/>
        </w:rPr>
        <w:t>．货物包装、运输、装卸等环节不符合食品安全要求的；</w:t>
      </w:r>
    </w:p>
    <w:p>
      <w:pPr>
        <w:jc w:val="both"/>
      </w:pPr>
      <w:r>
        <w:rPr>
          <w:sz w:val="21"/>
        </w:rPr>
        <w:t>5</w:t>
      </w:r>
      <w:r>
        <w:rPr>
          <w:sz w:val="21"/>
        </w:rPr>
        <w:t>．中标人工作人员不遵守未管所对外来人员相关管理规定，情节轻微尚未造成不良后果的。</w:t>
      </w:r>
    </w:p>
    <w:p>
      <w:pPr>
        <w:jc w:val="both"/>
      </w:pPr>
      <w:r>
        <w:rPr>
          <w:b/>
          <w:sz w:val="21"/>
        </w:rPr>
        <w:t>在合同期前两个月内发生上述（四）、（五）扣除履约保证金情形的，次数不超过三次（含三次），在未影响未管所伙食正常供应、未因所供货物发生食品安全事故，且中标人及时整改的前提下可免予扣除履约保证金；从第三个月起严格执行。</w:t>
      </w:r>
    </w:p>
    <w:p>
      <w:pPr>
        <w:jc w:val="both"/>
      </w:pPr>
      <w:r>
        <w:rPr>
          <w:sz w:val="21"/>
        </w:rPr>
        <w:t>（六）发生以下情形之一、经调查属实的，每次扣除</w:t>
      </w:r>
      <w:r>
        <w:rPr>
          <w:sz w:val="21"/>
        </w:rPr>
        <w:t>30%</w:t>
      </w:r>
      <w:r>
        <w:rPr>
          <w:sz w:val="21"/>
        </w:rPr>
        <w:t>履约保证金：</w:t>
      </w:r>
    </w:p>
    <w:p>
      <w:pPr>
        <w:jc w:val="both"/>
      </w:pPr>
      <w:r>
        <w:rPr>
          <w:sz w:val="21"/>
        </w:rPr>
        <w:t>1</w:t>
      </w:r>
      <w:r>
        <w:rPr>
          <w:sz w:val="21"/>
        </w:rPr>
        <w:t>．因退货或未按监狱采购计划数量供应，造成监狱无法按时供应罪犯伙食的；</w:t>
      </w:r>
    </w:p>
    <w:p>
      <w:pPr>
        <w:jc w:val="both"/>
      </w:pPr>
      <w:r>
        <w:rPr>
          <w:sz w:val="21"/>
        </w:rPr>
        <w:t>2</w:t>
      </w:r>
      <w:r>
        <w:rPr>
          <w:sz w:val="21"/>
        </w:rPr>
        <w:t>．中标人工作人员第一次为服刑人员传带物品的；</w:t>
      </w:r>
    </w:p>
    <w:p>
      <w:pPr>
        <w:jc w:val="both"/>
      </w:pPr>
      <w:r>
        <w:rPr>
          <w:sz w:val="21"/>
        </w:rPr>
        <w:t>3</w:t>
      </w:r>
      <w:r>
        <w:rPr>
          <w:sz w:val="21"/>
        </w:rPr>
        <w:t>．中标人工作人员对货物检查把关不严，造成违禁品、违规品及危险品流入狱内的；</w:t>
      </w:r>
    </w:p>
    <w:p>
      <w:pPr>
        <w:jc w:val="both"/>
      </w:pPr>
      <w:r>
        <w:rPr>
          <w:sz w:val="21"/>
        </w:rPr>
        <w:t>4</w:t>
      </w:r>
      <w:r>
        <w:rPr>
          <w:sz w:val="21"/>
        </w:rPr>
        <w:t>．中标人无正当理由，未按监狱要求在指定时间内配送相关物资的；</w:t>
      </w:r>
    </w:p>
    <w:p>
      <w:pPr>
        <w:jc w:val="both"/>
      </w:pPr>
      <w:r>
        <w:rPr>
          <w:sz w:val="21"/>
        </w:rPr>
        <w:t>5</w:t>
      </w:r>
      <w:r>
        <w:rPr>
          <w:sz w:val="21"/>
        </w:rPr>
        <w:t>．中标人未经书面申请监狱同意，擅自调整、更换项目相关服务人员的。</w:t>
      </w:r>
    </w:p>
    <w:p>
      <w:pPr>
        <w:jc w:val="both"/>
      </w:pPr>
      <w:r>
        <w:rPr>
          <w:sz w:val="21"/>
        </w:rPr>
        <w:t>（七）发生以下情形之一、经调查属实的，每次扣除</w:t>
      </w:r>
      <w:r>
        <w:rPr>
          <w:sz w:val="21"/>
        </w:rPr>
        <w:t>50%</w:t>
      </w:r>
      <w:r>
        <w:rPr>
          <w:sz w:val="21"/>
        </w:rPr>
        <w:t>履约保证金：</w:t>
      </w:r>
    </w:p>
    <w:p>
      <w:pPr>
        <w:jc w:val="both"/>
      </w:pPr>
      <w:r>
        <w:rPr>
          <w:sz w:val="21"/>
        </w:rPr>
        <w:t>1</w:t>
      </w:r>
      <w:r>
        <w:rPr>
          <w:sz w:val="21"/>
        </w:rPr>
        <w:t>．省局在合同期内的随机质量抽查中发现货物质量（含包装）不合格的；</w:t>
      </w:r>
    </w:p>
    <w:p>
      <w:pPr>
        <w:jc w:val="both"/>
      </w:pPr>
      <w:r>
        <w:rPr>
          <w:sz w:val="21"/>
        </w:rPr>
        <w:t>2</w:t>
      </w:r>
      <w:r>
        <w:rPr>
          <w:sz w:val="21"/>
        </w:rPr>
        <w:t>．中标人工作人员第二次为服刑人员传带物品的；</w:t>
      </w:r>
    </w:p>
    <w:p>
      <w:pPr>
        <w:jc w:val="both"/>
      </w:pPr>
      <w:r>
        <w:rPr>
          <w:sz w:val="21"/>
        </w:rPr>
        <w:t>3</w:t>
      </w:r>
      <w:r>
        <w:rPr>
          <w:sz w:val="21"/>
        </w:rPr>
        <w:t>．中标人工作人员第二次出现对货物检查把关不严，造成违禁品、违规品或危险品流入狱内的。</w:t>
      </w:r>
    </w:p>
    <w:p>
      <w:pPr>
        <w:jc w:val="both"/>
      </w:pPr>
      <w:r>
        <w:rPr>
          <w:sz w:val="21"/>
        </w:rPr>
        <w:t>4</w:t>
      </w:r>
      <w:r>
        <w:rPr>
          <w:sz w:val="21"/>
        </w:rPr>
        <w:t>．中标人无正当理由，第二次未按监狱要求在指定时间内配送相关物资的；</w:t>
      </w:r>
    </w:p>
    <w:p>
      <w:pPr>
        <w:jc w:val="both"/>
      </w:pPr>
      <w:r>
        <w:rPr>
          <w:sz w:val="21"/>
        </w:rPr>
        <w:t>5</w:t>
      </w:r>
      <w:r>
        <w:rPr>
          <w:sz w:val="21"/>
        </w:rPr>
        <w:t>．因中标人长时间（超过</w:t>
      </w:r>
      <w:r>
        <w:rPr>
          <w:sz w:val="21"/>
        </w:rPr>
        <w:t>24</w:t>
      </w:r>
      <w:r>
        <w:rPr>
          <w:sz w:val="21"/>
        </w:rPr>
        <w:t>小时）无法联系的原因，导致监狱物资供应出现中断或短缺的。</w:t>
      </w:r>
    </w:p>
    <w:p>
      <w:r>
        <w:rPr>
          <w:sz w:val="21"/>
        </w:rPr>
        <w:t>（八）发生以下情形之一、经调查属实的，扣除全部履约保证金，并视情况有权单方面解除合同：</w:t>
      </w:r>
    </w:p>
    <w:p>
      <w:pPr>
        <w:jc w:val="both"/>
      </w:pPr>
      <w:r>
        <w:rPr>
          <w:sz w:val="21"/>
        </w:rPr>
        <w:t>1</w:t>
      </w:r>
      <w:r>
        <w:rPr>
          <w:sz w:val="21"/>
        </w:rPr>
        <w:t>．省局在合同期内的随机质量抽查中第二次发现货物质量（含包装）不合格的（可以是相同或不同的货物）；</w:t>
      </w:r>
    </w:p>
    <w:p>
      <w:pPr>
        <w:jc w:val="both"/>
      </w:pPr>
      <w:r>
        <w:rPr>
          <w:sz w:val="21"/>
        </w:rPr>
        <w:t>2</w:t>
      </w:r>
      <w:r>
        <w:rPr>
          <w:sz w:val="21"/>
        </w:rPr>
        <w:t>．中标人工作人员为服刑人员传带违禁品、违规品或危险品，或是第三次传带物品的；</w:t>
      </w:r>
    </w:p>
    <w:p>
      <w:pPr>
        <w:jc w:val="both"/>
      </w:pPr>
      <w:r>
        <w:rPr>
          <w:sz w:val="21"/>
        </w:rPr>
        <w:t>3</w:t>
      </w:r>
      <w:r>
        <w:rPr>
          <w:sz w:val="21"/>
        </w:rPr>
        <w:t>．中标人工作人员第三次出现对货物检查把关不严，造成违禁品、违规品及危险品流入狱内的；</w:t>
      </w:r>
    </w:p>
    <w:p>
      <w:pPr>
        <w:jc w:val="both"/>
      </w:pPr>
      <w:r>
        <w:rPr>
          <w:sz w:val="21"/>
        </w:rPr>
        <w:t>4</w:t>
      </w:r>
      <w:r>
        <w:rPr>
          <w:sz w:val="21"/>
        </w:rPr>
        <w:t>．因所供货物质量原因导致狱内发生食品安全事故的；</w:t>
      </w:r>
    </w:p>
    <w:p>
      <w:pPr>
        <w:jc w:val="both"/>
      </w:pPr>
      <w:r>
        <w:rPr>
          <w:sz w:val="21"/>
        </w:rPr>
        <w:t>5</w:t>
      </w:r>
      <w:r>
        <w:rPr>
          <w:sz w:val="21"/>
        </w:rPr>
        <w:t>．因中标人工作人员原因导致狱内发生监管安全事故的；</w:t>
      </w:r>
    </w:p>
    <w:p>
      <w:pPr>
        <w:jc w:val="both"/>
      </w:pPr>
      <w:r>
        <w:rPr>
          <w:sz w:val="21"/>
        </w:rPr>
        <w:t>6</w:t>
      </w:r>
      <w:r>
        <w:rPr>
          <w:sz w:val="21"/>
        </w:rPr>
        <w:t>．除不可抗力外，中标人无故不能完成监狱疫情防控及应急保障相关要求，导致监狱出现重大安全风险的。</w:t>
      </w:r>
    </w:p>
    <w:p>
      <w:pPr>
        <w:jc w:val="both"/>
      </w:pPr>
      <w:r>
        <w:rPr>
          <w:b/>
          <w:sz w:val="21"/>
        </w:rPr>
        <w:t>若同时出现上述履约保证金扣除情形，按扣除数额最大的情形执行，不对同时出现的情形累计扣除。</w:t>
      </w:r>
    </w:p>
    <w:p>
      <w:pPr>
        <w:jc w:val="both"/>
      </w:pPr>
      <w:r>
        <w:rPr>
          <w:sz w:val="21"/>
        </w:rPr>
        <w:t>（九）如中标人在合同执行过程中需终止合同履行的，应提前九十日以书面形式告知片区各监狱单位，并继续供应九十日后方可终止。履行合同未满六个月就提出终止合同的，扣除</w:t>
      </w:r>
      <w:r>
        <w:rPr>
          <w:sz w:val="21"/>
        </w:rPr>
        <w:t>60%</w:t>
      </w:r>
      <w:r>
        <w:rPr>
          <w:sz w:val="21"/>
        </w:rPr>
        <w:t>履约保证金；履行合同六个月以上不足九个月提出终止合同的，扣除</w:t>
      </w:r>
      <w:r>
        <w:rPr>
          <w:sz w:val="21"/>
        </w:rPr>
        <w:t>40%</w:t>
      </w:r>
      <w:r>
        <w:rPr>
          <w:sz w:val="21"/>
        </w:rPr>
        <w:t>履约保证金；履行合同九个月以上提出终止合同的，扣除</w:t>
      </w:r>
      <w:r>
        <w:rPr>
          <w:sz w:val="21"/>
        </w:rPr>
        <w:t>20%</w:t>
      </w:r>
      <w:r>
        <w:rPr>
          <w:sz w:val="21"/>
        </w:rPr>
        <w:t>履约保证金。</w:t>
      </w:r>
    </w:p>
    <w:p>
      <w:pPr>
        <w:jc w:val="both"/>
      </w:pPr>
      <w:r>
        <w:rPr>
          <w:sz w:val="21"/>
        </w:rPr>
        <w:t>如中标人没有提前书面告知终止合同或提出终止合同后未继续供应九十日的（剩余合同期不足九十日的，供应至合同结束时间为止），按单方面违约处理，除扣除全部履约保证金外，还须承担片区各监狱单位的其他经济损失（以双方正式终止合同之日为计算扣除履约保证金的时间节点）。</w:t>
      </w:r>
    </w:p>
    <w:p>
      <w:pPr>
        <w:jc w:val="both"/>
      </w:pPr>
      <w:r>
        <w:rPr>
          <w:sz w:val="21"/>
        </w:rPr>
        <w:t>（十）如监狱在合同执行过程中需终止合同履行的，应提前六十日以书面形式告知中标人，并在合同正式终止后三十日内退还全部履约保证金。</w:t>
      </w:r>
    </w:p>
    <w:p>
      <w:pPr>
        <w:jc w:val="both"/>
      </w:pPr>
    </w:p>
    <w:p>
      <w:pPr>
        <w:jc w:val="both"/>
      </w:pPr>
      <w:r>
        <w:rPr>
          <w:b/>
          <w:sz w:val="21"/>
        </w:rPr>
        <w:t>五、配送要求与货款支付</w:t>
      </w:r>
    </w:p>
    <w:p>
      <w:pPr>
        <w:jc w:val="both"/>
      </w:pPr>
      <w:r>
        <w:rPr>
          <w:sz w:val="21"/>
        </w:rPr>
        <w:t>（一）交货地点：片区监狱单位指定地点。其中省女子监狱、未成年犯管教所（白云监狱）、监狱中心医院由中标人工作人员负责卸货及入库堆放。</w:t>
      </w:r>
    </w:p>
    <w:p>
      <w:pPr>
        <w:jc w:val="both"/>
      </w:pPr>
      <w:r>
        <w:rPr>
          <w:sz w:val="21"/>
        </w:rPr>
        <w:t>（二）首次供应时，中标人应提供《营业执照》、《食品经营许可证》或《食品生产许可证》等证照复印件予监狱存档。每次供应时应向监狱提供该批次产品的出厂（库）检验合格报告、盖有公章的货物清单（送货单）。此外，每六个月需提供一次具备资质的质量检验机构出具的针对所供应品牌大米、食用油的质量检验合格报告（大米检测需含重金属检测项目）。</w:t>
      </w:r>
    </w:p>
    <w:p>
      <w:pPr>
        <w:jc w:val="both"/>
      </w:pPr>
      <w:r>
        <w:rPr>
          <w:sz w:val="21"/>
        </w:rPr>
        <w:t>（三）货物运输整个过程应科学合理，必须采用符合卫生要求的外包装和运载工具，确保货物不被挤压变形导致质量受到影响，并且要保持清洁和定期清洗消毒，车厢内无不良气味、异味。</w:t>
      </w:r>
    </w:p>
    <w:p>
      <w:pPr>
        <w:jc w:val="both"/>
      </w:pPr>
      <w:r>
        <w:rPr>
          <w:sz w:val="21"/>
        </w:rPr>
        <w:t>（四）送货时间：监狱根据采购计划和实际需求，提前五日以书面方式将需求通知中标人。</w:t>
      </w:r>
    </w:p>
    <w:p>
      <w:pPr>
        <w:jc w:val="both"/>
      </w:pPr>
      <w:r>
        <w:rPr>
          <w:sz w:val="21"/>
        </w:rPr>
        <w:t>中标人在接到通知后备齐货物，按时送抵交货地点。除不可抗力外，中标人不得以其他任何理由延迟送货。监狱如遇特殊情况需推迟送货，应至少提前一日通知中标人。中标人不能按时、按质、按量供货，导致监狱无法正常供应伙食的，监狱有权自行采购同等质量的货物，由此造成的采购费用差额等经济损失由中标人负责，并承担相应的违约责任。</w:t>
      </w:r>
    </w:p>
    <w:p>
      <w:pPr>
        <w:jc w:val="both"/>
      </w:pPr>
      <w:r>
        <w:rPr>
          <w:sz w:val="21"/>
        </w:rPr>
        <w:t>（五）供应商针对此项目有配送及应急服务方案，配送服务方案全面、科学、合理，包括食品包装、运输、装卸、派发及善后处理等安排计划、专人服务，专人跟踪等内容。因采购项目的特殊性，存在应急配送的需要，为确保食品及时送达采购人指定地点，供应商需作出相应的承诺。</w:t>
      </w:r>
    </w:p>
    <w:p>
      <w:pPr>
        <w:jc w:val="both"/>
      </w:pPr>
      <w:r>
        <w:rPr>
          <w:sz w:val="21"/>
        </w:rPr>
        <w:t>（六）支付方式：（</w:t>
      </w:r>
      <w:r>
        <w:rPr>
          <w:sz w:val="21"/>
        </w:rPr>
        <w:t>1</w:t>
      </w:r>
      <w:r>
        <w:rPr>
          <w:sz w:val="21"/>
        </w:rPr>
        <w:t>）根据《广东省政府采购促进中小企业发展实施细则》第二十九条规定：采购人需向中标人支付预算金额</w:t>
      </w:r>
      <w:r>
        <w:rPr>
          <w:sz w:val="21"/>
        </w:rPr>
        <w:t>30%</w:t>
      </w:r>
      <w:r>
        <w:rPr>
          <w:sz w:val="21"/>
        </w:rPr>
        <w:t>的预付款。由于本项目的采购预算使用财政资金而且是</w:t>
      </w:r>
      <w:r>
        <w:rPr>
          <w:sz w:val="21"/>
        </w:rPr>
        <w:t>2024</w:t>
      </w:r>
      <w:r>
        <w:rPr>
          <w:sz w:val="21"/>
        </w:rPr>
        <w:t>年的财政预算，财政资金的具体拨付时间不确定，待资金到位后通知中标人，中标人接到通知后，持预付款保函和预付款发票到采购人单位办理支付手续。</w:t>
      </w:r>
    </w:p>
    <w:p>
      <w:pPr>
        <w:jc w:val="both"/>
      </w:pPr>
      <w:r>
        <w:rPr>
          <w:sz w:val="21"/>
        </w:rPr>
        <w:t>（</w:t>
      </w:r>
      <w:r>
        <w:rPr>
          <w:sz w:val="21"/>
        </w:rPr>
        <w:t>2</w:t>
      </w:r>
      <w:r>
        <w:rPr>
          <w:sz w:val="21"/>
        </w:rPr>
        <w:t>）预付款保函以支票、汇票、本票或者金融机构、担保机构出具的保函等非现金形式提交。需提交不可撤销、见索即付的独立保函，保函有效期限直至预付款金额用完为止，保函有效期满后，中标人提出书面申请，采购人</w:t>
      </w:r>
      <w:r>
        <w:rPr>
          <w:sz w:val="21"/>
        </w:rPr>
        <w:t>5</w:t>
      </w:r>
      <w:r>
        <w:rPr>
          <w:sz w:val="21"/>
        </w:rPr>
        <w:t>个工作日内无息退还保函原件。</w:t>
      </w:r>
    </w:p>
    <w:p>
      <w:pPr>
        <w:jc w:val="both"/>
      </w:pPr>
      <w:r>
        <w:rPr>
          <w:sz w:val="21"/>
        </w:rPr>
        <w:t>（</w:t>
      </w:r>
      <w:r>
        <w:rPr>
          <w:sz w:val="21"/>
        </w:rPr>
        <w:t>3</w:t>
      </w:r>
      <w:r>
        <w:rPr>
          <w:sz w:val="21"/>
        </w:rPr>
        <w:t>）中标人完成当月供货计划后，于次月</w:t>
      </w:r>
      <w:r>
        <w:rPr>
          <w:sz w:val="21"/>
        </w:rPr>
        <w:t>10</w:t>
      </w:r>
      <w:r>
        <w:rPr>
          <w:sz w:val="21"/>
        </w:rPr>
        <w:t>日前凭国家正式发票及采购人确认的供货单向采购人申请付款，采购人在收到申请等额有效发票后的</w:t>
      </w:r>
      <w:r>
        <w:rPr>
          <w:sz w:val="21"/>
        </w:rPr>
        <w:t>15</w:t>
      </w:r>
      <w:r>
        <w:rPr>
          <w:sz w:val="21"/>
        </w:rPr>
        <w:t>天内结清当月所有货款。每月结算一次，先抵扣预付款，预付款抵扣完毕后，当月不足抵扣的据实结算。</w:t>
      </w:r>
    </w:p>
    <w:p>
      <w:r>
        <w:rPr>
          <w:sz w:val="21"/>
        </w:rPr>
        <w:t>（七）</w:t>
      </w:r>
      <w:r>
        <w:rPr>
          <w:color w:val="000000"/>
          <w:sz w:val="21"/>
        </w:rPr>
        <w:t>监狱执行预防传染病、流行病传播等任务需要特殊管理的情况下，需对配送货物、车辆、人员进行检查检测、消毒消杀、静置等候等管理措施的，中标人应予以配合，由此产生的相关费用由中标人负责。</w:t>
      </w:r>
    </w:p>
    <w:p>
      <w:pPr>
        <w:jc w:val="both"/>
      </w:pPr>
    </w:p>
    <w:p>
      <w:pPr>
        <w:jc w:val="both"/>
      </w:pPr>
      <w:r>
        <w:rPr>
          <w:b/>
          <w:sz w:val="21"/>
        </w:rPr>
        <w:t>六、物资验收</w:t>
      </w:r>
    </w:p>
    <w:p>
      <w:pPr>
        <w:jc w:val="both"/>
      </w:pPr>
      <w:r>
        <w:rPr>
          <w:sz w:val="21"/>
        </w:rPr>
        <w:t>（一）按《广东省监狱罪犯生活物资验收管理办法》有关规定进行验收。</w:t>
      </w:r>
    </w:p>
    <w:p>
      <w:pPr>
        <w:jc w:val="both"/>
      </w:pPr>
      <w:r>
        <w:rPr>
          <w:sz w:val="21"/>
        </w:rPr>
        <w:t>（二）双方对质量有争议，需将货物送至具备资质的质量检测机构检测的，若检测结果合格，检测费用由监狱支付；若检测结果不合格，则检测费用由中标人支付，监狱将该批次货物退货，中标人需重新配送合格物资。</w:t>
      </w:r>
    </w:p>
    <w:p>
      <w:pPr>
        <w:jc w:val="both"/>
      </w:pPr>
      <w:r>
        <w:rPr>
          <w:sz w:val="21"/>
        </w:rPr>
        <w:t>（三）合同期内，省局随机对货物质量进行一到两次抽查（因发生食品安全事故或接到相关投诉而送检的，不受此次数限制），检验费用由中标人支付。合同期内两次抽查发现不合格的（可为相同或不同货物），责成监狱扣除全部履约保证金并立即解除合同。</w:t>
      </w:r>
    </w:p>
    <w:p>
      <w:pPr>
        <w:jc w:val="both"/>
      </w:pPr>
      <w:r>
        <w:rPr>
          <w:sz w:val="21"/>
        </w:rPr>
        <w:t>（四）监狱在物资验收时未发现质量问题，而入库后七日内发现质量问题的，且中标人无法证明该质量问题是由于监狱保管、使用不善而导致的，应无条件更换该批次货物。</w:t>
      </w:r>
    </w:p>
    <w:p>
      <w:pPr>
        <w:jc w:val="both"/>
      </w:pPr>
      <w:r>
        <w:rPr>
          <w:b/>
          <w:sz w:val="21"/>
        </w:rPr>
        <w:t>（五）联合招标单位每季度选取其中</w:t>
      </w:r>
      <w:r>
        <w:rPr>
          <w:b/>
          <w:sz w:val="21"/>
        </w:rPr>
        <w:t>1</w:t>
      </w:r>
      <w:r>
        <w:rPr>
          <w:b/>
          <w:sz w:val="21"/>
        </w:rPr>
        <w:t>个监狱单位，将中标人所供应的物资抽样并送至具备资质的质量检测机构进行检测。检测结果合格的，检测费用由送检单位承担，检测结果不合格的，检测费用由中标人承担，同时监狱按照相关违约责任规定作出扣除相应比例履约保证金等处理。</w:t>
      </w:r>
    </w:p>
    <w:p>
      <w:pPr>
        <w:jc w:val="both"/>
      </w:pPr>
      <w:r>
        <w:rPr>
          <w:b/>
          <w:sz w:val="21"/>
        </w:rPr>
        <w:t>七、应急保障</w:t>
      </w:r>
    </w:p>
    <w:p>
      <w:pPr>
        <w:jc w:val="both"/>
      </w:pPr>
      <w:r>
        <w:rPr>
          <w:sz w:val="21"/>
        </w:rPr>
        <w:t>（一）投标人要有自己的货物来源保障能力，即自有或租赁的种植、养殖基地，自有或租赁的配送中心、仓库、冷冻库、冷藏库，自有或租赁的生产线或生产车间等，相关面积及运输距离须满足本项目的实际需要。</w:t>
      </w:r>
    </w:p>
    <w:p>
      <w:pPr>
        <w:jc w:val="both"/>
      </w:pPr>
      <w:r>
        <w:rPr>
          <w:sz w:val="21"/>
        </w:rPr>
        <w:t>（二）投标人应制定详细、科学、合理，可行性和针对性强的特殊情况应急保障方案，承诺在合同期内（包括国家法定节假日及休息日）保持</w:t>
      </w:r>
      <w:r>
        <w:rPr>
          <w:sz w:val="21"/>
        </w:rPr>
        <w:t>24</w:t>
      </w:r>
      <w:r>
        <w:rPr>
          <w:sz w:val="21"/>
        </w:rPr>
        <w:t>小时沟通联系，在收到监狱需配送物资的通知后，及时按要求完成配送。</w:t>
      </w:r>
    </w:p>
    <w:p>
      <w:pPr>
        <w:jc w:val="both"/>
      </w:pPr>
      <w:r>
        <w:rPr>
          <w:sz w:val="21"/>
        </w:rPr>
        <w:t>（三）中标人需具备足够的运输车辆及相关设备、配送人员，确保满足本项目的服务需求。中标人不得随意变更未管所采购计划，否则未管所有权拒收。确因市场流通问题需变更的，须向监狱书面提出申请。</w:t>
      </w:r>
    </w:p>
    <w:p>
      <w:pPr>
        <w:jc w:val="both"/>
      </w:pPr>
      <w:r>
        <w:rPr>
          <w:sz w:val="21"/>
        </w:rPr>
        <w:t>（四）除不可抗力外，因中标人不能完成合同约定的应急保障内容，导致监狱出现供应中断等重大安全风险的，监狱有权采取扣除全部履约保证金、单方面解除合同等措施，并要求中标人承担所造成的一切经济损失。</w:t>
      </w:r>
    </w:p>
    <w:p>
      <w:pPr>
        <w:jc w:val="both"/>
      </w:pPr>
    </w:p>
    <w:p>
      <w:pPr>
        <w:jc w:val="both"/>
      </w:pPr>
      <w:r>
        <w:rPr>
          <w:b/>
          <w:sz w:val="21"/>
        </w:rPr>
        <w:t>八、中标人管理要求</w:t>
      </w:r>
    </w:p>
    <w:p>
      <w:pPr>
        <w:jc w:val="both"/>
      </w:pPr>
      <w:r>
        <w:rPr>
          <w:sz w:val="21"/>
        </w:rPr>
        <w:t>（一）中标人有以下行为之一并经调查属实的，监狱有权立即解除合同，并扣除全部履约保证金：</w:t>
      </w:r>
      <w:r>
        <w:br/>
      </w:r>
      <w:r>
        <w:rPr>
          <w:sz w:val="21"/>
        </w:rPr>
        <w:t>1</w:t>
      </w:r>
      <w:r>
        <w:rPr>
          <w:sz w:val="21"/>
        </w:rPr>
        <w:t>．弄虚作假，提供虚假材料取得中标供应资格的；</w:t>
      </w:r>
    </w:p>
    <w:p>
      <w:pPr>
        <w:jc w:val="both"/>
      </w:pPr>
      <w:r>
        <w:rPr>
          <w:sz w:val="21"/>
        </w:rPr>
        <w:t>2</w:t>
      </w:r>
      <w:r>
        <w:rPr>
          <w:sz w:val="21"/>
        </w:rPr>
        <w:t>．中标供应项目有违规转包、分包行为的；</w:t>
      </w:r>
    </w:p>
    <w:p>
      <w:pPr>
        <w:jc w:val="both"/>
      </w:pPr>
      <w:r>
        <w:rPr>
          <w:sz w:val="21"/>
        </w:rPr>
        <w:t>3</w:t>
      </w:r>
      <w:r>
        <w:rPr>
          <w:sz w:val="21"/>
        </w:rPr>
        <w:t>．经营情况发生重大变更，已不具备承接中标项目能力的；</w:t>
      </w:r>
    </w:p>
    <w:p>
      <w:pPr>
        <w:jc w:val="both"/>
      </w:pPr>
      <w:r>
        <w:rPr>
          <w:sz w:val="21"/>
        </w:rPr>
        <w:t>4</w:t>
      </w:r>
      <w:r>
        <w:rPr>
          <w:sz w:val="21"/>
        </w:rPr>
        <w:t>．无正当理由拒绝履行合同约定的；</w:t>
      </w:r>
      <w:r>
        <w:br/>
      </w:r>
      <w:r>
        <w:rPr>
          <w:sz w:val="21"/>
        </w:rPr>
        <w:t>5</w:t>
      </w:r>
      <w:r>
        <w:rPr>
          <w:sz w:val="21"/>
        </w:rPr>
        <w:t>．存在行贿、受贿等违法违纪行为的；</w:t>
      </w:r>
    </w:p>
    <w:p>
      <w:pPr>
        <w:jc w:val="both"/>
      </w:pPr>
      <w:r>
        <w:rPr>
          <w:sz w:val="21"/>
        </w:rPr>
        <w:t>6</w:t>
      </w:r>
      <w:r>
        <w:rPr>
          <w:sz w:val="21"/>
        </w:rPr>
        <w:t>．食品安全责任险：投标人已购买（或承诺中标后购买）食品安全责任保险，保险保额不低于项目预算金额，且保险有效期应覆盖本项目合同期。。</w:t>
      </w:r>
    </w:p>
    <w:p>
      <w:pPr>
        <w:jc w:val="both"/>
      </w:pPr>
      <w:r>
        <w:rPr>
          <w:sz w:val="21"/>
        </w:rPr>
        <w:t>（二）中标人必须依据国家有关法律法规，建立健全各项管理制度，保证食品安全，有明确的食品安全责任人。因所供货物原因导致狱内发生食品安全事故或监管安全事故的，除扣除全部履约保证金并解除合同外，中标人还需赔偿监狱由此产生的一切经济损失（包括但不限于医疗救治、护理、康复等费用）。</w:t>
      </w:r>
    </w:p>
    <w:p>
      <w:pPr>
        <w:jc w:val="both"/>
      </w:pPr>
      <w:r>
        <w:rPr>
          <w:sz w:val="21"/>
        </w:rPr>
        <w:t>（三）中标人应严格按招标要求及合同约定（品种、质量等）供应，不得随意变更监狱采购计划。对监狱验收认为不符合规格要求或质量标准的货物，中标人应无条件予以退货或更换，并承担由此造成的全部经济损失。</w:t>
      </w:r>
    </w:p>
    <w:p>
      <w:pPr>
        <w:jc w:val="both"/>
      </w:pPr>
      <w:r>
        <w:rPr>
          <w:sz w:val="21"/>
        </w:rPr>
        <w:t>（四）因生产商原因停产、改变生产规格的，中标人凭生产商出具的证明告知监狱，监狱经市场调查选择替换的品种、规格，报省局生活卫生处备案后与中标人协商予以更换。</w:t>
      </w:r>
    </w:p>
    <w:p>
      <w:pPr>
        <w:jc w:val="both"/>
      </w:pPr>
      <w:r>
        <w:rPr>
          <w:sz w:val="21"/>
        </w:rPr>
        <w:t>（五）中标人须按所供应商品的实际销售额开具国家正式发票。</w:t>
      </w:r>
    </w:p>
    <w:p>
      <w:pPr>
        <w:jc w:val="both"/>
      </w:pPr>
      <w:r>
        <w:rPr>
          <w:sz w:val="21"/>
        </w:rPr>
        <w:t>（六）食品溯源要求：中标人需建立完整的食品溯源管理机制，确保所有食品及原材料的生产、加工、运输、贮存等各环节链条清晰、源头可控，并主动接受属地市场监督管理部门的监管。</w:t>
      </w:r>
    </w:p>
    <w:p>
      <w:pPr>
        <w:jc w:val="both"/>
      </w:pPr>
      <w:r>
        <w:rPr>
          <w:sz w:val="21"/>
        </w:rPr>
        <w:t>（</w:t>
      </w:r>
      <w:r>
        <w:rPr>
          <w:sz w:val="21"/>
        </w:rPr>
        <w:t>七）中标人应保存以下资料备查：</w:t>
      </w:r>
      <w:r>
        <w:rPr>
          <w:sz w:val="21"/>
        </w:rPr>
        <w:t>1</w:t>
      </w:r>
      <w:r>
        <w:rPr>
          <w:sz w:val="21"/>
        </w:rPr>
        <w:t>．与食品生产企业的销售</w:t>
      </w:r>
      <w:r>
        <w:rPr>
          <w:sz w:val="21"/>
        </w:rPr>
        <w:t>/</w:t>
      </w:r>
      <w:r>
        <w:rPr>
          <w:sz w:val="21"/>
        </w:rPr>
        <w:t>代理合同；</w:t>
      </w:r>
      <w:r>
        <w:rPr>
          <w:sz w:val="21"/>
        </w:rPr>
        <w:t>2</w:t>
      </w:r>
      <w:r>
        <w:rPr>
          <w:sz w:val="21"/>
        </w:rPr>
        <w:t>．食品生产企业的送货单据和销售发票；</w:t>
      </w:r>
      <w:r>
        <w:rPr>
          <w:sz w:val="21"/>
        </w:rPr>
        <w:t>3</w:t>
      </w:r>
      <w:r>
        <w:rPr>
          <w:sz w:val="21"/>
        </w:rPr>
        <w:t>．与经销商</w:t>
      </w:r>
      <w:r>
        <w:rPr>
          <w:sz w:val="21"/>
        </w:rPr>
        <w:t>/</w:t>
      </w:r>
      <w:r>
        <w:rPr>
          <w:sz w:val="21"/>
        </w:rPr>
        <w:t>代理商的采购合同、送货单据和销售发票。</w:t>
      </w:r>
    </w:p>
    <w:p>
      <w:r>
        <w:rPr>
          <w:b/>
          <w:sz w:val="21"/>
        </w:rPr>
        <w:t>九、其他要求</w:t>
      </w:r>
    </w:p>
    <w:p>
      <w:pPr>
        <w:jc w:val="left"/>
      </w:pPr>
      <w:r>
        <w:rPr>
          <w:sz w:val="21"/>
        </w:rPr>
        <w:t>（一）</w:t>
      </w:r>
      <w:r>
        <w:rPr>
          <w:sz w:val="21"/>
        </w:rPr>
        <w:t>供应商需自有或其合作的供货厂家具有以下</w:t>
      </w:r>
      <w:r>
        <w:rPr>
          <w:color w:val="000000"/>
          <w:sz w:val="21"/>
        </w:rPr>
        <w:t>食品质量安全检测能力：</w:t>
      </w:r>
      <w:r>
        <w:rPr>
          <w:sz w:val="21"/>
        </w:rPr>
        <w:t>真菌霉素检测仪、农药残留检测仪、细菌检测仪、食品添加剂检测仪、食品重金属检测仪、油品油料检测仪。</w:t>
      </w:r>
    </w:p>
    <w:p>
      <w:pPr>
        <w:jc w:val="left"/>
      </w:pPr>
      <w:r>
        <w:rPr>
          <w:sz w:val="21"/>
        </w:rPr>
        <w:t>（二）供应商需具有食品药品监督管理局或市场监督管理局颁发的食品安全管理人员考试合格证明。</w:t>
      </w:r>
    </w:p>
    <w:p>
      <w:r>
        <w:rPr>
          <w:sz w:val="21"/>
        </w:rPr>
        <w:t>（三）投标样品</w:t>
      </w:r>
    </w:p>
    <w:p>
      <w:r>
        <w:rPr>
          <w:sz w:val="21"/>
        </w:rPr>
        <w:t>1</w:t>
      </w:r>
      <w:r>
        <w:rPr>
          <w:sz w:val="21"/>
        </w:rPr>
        <w:t>、样品提交：</w:t>
      </w:r>
    </w:p>
    <w:p>
      <w:r>
        <w:rPr>
          <w:sz w:val="21"/>
        </w:rPr>
        <w:t>(1)</w:t>
      </w:r>
      <w:r>
        <w:rPr>
          <w:sz w:val="21"/>
        </w:rPr>
        <w:t>投标人提供不少于</w:t>
      </w:r>
      <w:r>
        <w:rPr>
          <w:sz w:val="21"/>
        </w:rPr>
        <w:t>500g</w:t>
      </w:r>
      <w:r>
        <w:rPr>
          <w:sz w:val="21"/>
        </w:rPr>
        <w:t>大米样品进行现场评审；</w:t>
      </w:r>
    </w:p>
    <w:p>
      <w:r>
        <w:rPr>
          <w:sz w:val="21"/>
        </w:rPr>
        <w:t>(2)</w:t>
      </w:r>
      <w:r>
        <w:rPr>
          <w:sz w:val="21"/>
        </w:rPr>
        <w:t>样品品质要求：米型完整，碎米少，无黄粒米，无异常色泽和气味。</w:t>
      </w:r>
    </w:p>
    <w:p>
      <w:pPr>
        <w:jc w:val="left"/>
      </w:pPr>
      <w:r>
        <w:rPr>
          <w:sz w:val="21"/>
        </w:rPr>
        <w:t>2</w:t>
      </w:r>
      <w:r>
        <w:rPr>
          <w:sz w:val="21"/>
        </w:rPr>
        <w:t>、递交时间：投标截止前</w:t>
      </w:r>
      <w:r>
        <w:rPr>
          <w:sz w:val="21"/>
        </w:rPr>
        <w:t>30</w:t>
      </w:r>
      <w:r>
        <w:rPr>
          <w:sz w:val="21"/>
        </w:rPr>
        <w:t>分钟内（2023年11月29日9：00-9：30）密封提交（</w:t>
      </w:r>
      <w:r>
        <w:rPr>
          <w:sz w:val="21"/>
        </w:rPr>
        <w:t>如因投标人迟到等原因导致样品递交失败的，采购代理机构不负相关责任）</w:t>
      </w:r>
      <w:r>
        <w:rPr>
          <w:sz w:val="21"/>
        </w:rPr>
        <w:t>；</w:t>
      </w:r>
    </w:p>
    <w:p>
      <w:r>
        <w:rPr>
          <w:sz w:val="21"/>
        </w:rPr>
        <w:t>3</w:t>
      </w:r>
      <w:r>
        <w:rPr>
          <w:sz w:val="21"/>
        </w:rPr>
        <w:t>、递交地点：广州市越华路</w:t>
      </w:r>
      <w:r>
        <w:rPr>
          <w:sz w:val="21"/>
        </w:rPr>
        <w:t>112</w:t>
      </w:r>
      <w:r>
        <w:rPr>
          <w:sz w:val="21"/>
        </w:rPr>
        <w:t>号珠江国际大厦</w:t>
      </w:r>
      <w:r>
        <w:rPr>
          <w:sz w:val="21"/>
        </w:rPr>
        <w:t>3</w:t>
      </w:r>
      <w:r>
        <w:rPr>
          <w:sz w:val="21"/>
        </w:rPr>
        <w:t>楼。（珠江国际大厦</w:t>
      </w:r>
      <w:r>
        <w:rPr>
          <w:sz w:val="21"/>
        </w:rPr>
        <w:t>3</w:t>
      </w:r>
      <w:r>
        <w:rPr>
          <w:sz w:val="21"/>
        </w:rPr>
        <w:t>楼乘梯指引：</w:t>
      </w:r>
      <w:r>
        <w:rPr>
          <w:sz w:val="21"/>
        </w:rPr>
        <w:t>14</w:t>
      </w:r>
      <w:r>
        <w:rPr>
          <w:sz w:val="21"/>
        </w:rPr>
        <w:t>号、</w:t>
      </w:r>
      <w:r>
        <w:rPr>
          <w:sz w:val="21"/>
        </w:rPr>
        <w:t>15</w:t>
      </w:r>
      <w:r>
        <w:rPr>
          <w:sz w:val="21"/>
        </w:rPr>
        <w:t>号、</w:t>
      </w:r>
      <w:r>
        <w:rPr>
          <w:sz w:val="21"/>
        </w:rPr>
        <w:t>16</w:t>
      </w:r>
      <w:r>
        <w:rPr>
          <w:sz w:val="21"/>
        </w:rPr>
        <w:t>号、</w:t>
      </w:r>
      <w:r>
        <w:rPr>
          <w:sz w:val="21"/>
        </w:rPr>
        <w:t>17</w:t>
      </w:r>
      <w:r>
        <w:rPr>
          <w:sz w:val="21"/>
        </w:rPr>
        <w:t>号电梯，一楼扶梯）</w:t>
      </w:r>
    </w:p>
    <w:p>
      <w:r>
        <w:rPr>
          <w:sz w:val="21"/>
        </w:rPr>
        <w:t>4</w:t>
      </w:r>
      <w:r>
        <w:rPr>
          <w:sz w:val="21"/>
        </w:rPr>
        <w:t>、中标人的样品封存于采购人单位，作为履约验收的依据。采购人及采购代理机构对投标人所递交样品的破损或质量不负任何责任。未中标的投标人应在本项目中标公告发布之日起</w:t>
      </w:r>
      <w:r>
        <w:rPr>
          <w:sz w:val="21"/>
        </w:rPr>
        <w:t>7</w:t>
      </w:r>
      <w:r>
        <w:rPr>
          <w:sz w:val="21"/>
        </w:rPr>
        <w:t>个工作日后的</w:t>
      </w:r>
      <w:r>
        <w:rPr>
          <w:sz w:val="21"/>
        </w:rPr>
        <w:t>3</w:t>
      </w:r>
      <w:r>
        <w:rPr>
          <w:sz w:val="21"/>
        </w:rPr>
        <w:t>个工作日内到采购代理机构取回投标样品。</w:t>
      </w:r>
      <w:r>
        <w:rPr>
          <w:sz w:val="21"/>
        </w:rPr>
        <w:t>3</w:t>
      </w:r>
      <w:r>
        <w:rPr>
          <w:sz w:val="21"/>
        </w:rPr>
        <w:t>个工作日后投标人不取回样品，则视为同意采购代理机构有权自行处置相关样品。</w:t>
      </w:r>
    </w:p>
    <w:p/>
    <w:p>
      <w:pPr>
        <w:ind w:firstLine="480"/>
      </w:pPr>
    </w:p>
    <w:p/>
    <w:p>
      <w:r>
        <w:rPr/>
        <w:t>采购包1（广州片区省属监狱2023-2024年度罪犯大宗生活物资（大米及食用油）采购项目的第1包）</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自合同签订之日起12个月。</w:t>
            </w:r>
          </w:p>
        </w:tc>
      </w:tr>
      <w:tr>
        <w:tc>
          <w:tcPr>
            <w:tcW w:type="dxa" w:w="4153"/>
          </w:tcPr>
          <w:p>
            <w:r>
              <w:rPr/>
              <w:t>标的提供的地点</w:t>
            </w:r>
          </w:p>
        </w:tc>
        <w:tc>
          <w:tcPr>
            <w:tcW w:type="dxa" w:w="4153"/>
          </w:tcPr>
          <w:p/>
          <w:p>
            <w:r>
              <w:rPr/>
              <w:t>片区监狱单位指定地点。其中女子监狱、未成年犯管教所（白云监狱）、监狱中心医院由中标人工作人员负责卸货及入库堆放。</w:t>
            </w:r>
          </w:p>
        </w:tc>
      </w:tr>
      <w:tr>
        <w:tc>
          <w:tcPr>
            <w:tcW w:type="dxa" w:w="4153"/>
          </w:tcPr>
          <w:p>
            <w:r>
              <w:rPr/>
              <w:t>付款方式</w:t>
            </w:r>
          </w:p>
        </w:tc>
        <w:tc>
          <w:tcPr>
            <w:tcW w:type="dxa" w:w="4153"/>
          </w:tcPr>
          <w:p/>
          <w:p/>
          <w:p>
            <w:r>
              <w:rPr/>
              <w:t>1期：支付比例100%,（1）根据《广东省政府采购促进中小企业发展实施细则》第二十九条规定：采购人需向中标人支付预算金额30%的预付款。由于本项目的采购预算使用财政资金而且是2024年的财政预算，财政资金的具体拨付时间不确定，待资金到位后通知中标人，中标人接到通知后，持预付款保函和预付款发票到采购人单位办理支付手续。 （2）预付款保函以支票、汇票、本票或者金融机构、担保机构出具的保函等非现金形式提交。需提交不可撤销、见索即付的独立保函，保函有效期限直至预付款金额用完为止，保函有效期满后，中标人提出书面申请，采购人5个工作日内无息退还保函原件。 （3）中标人完成当月供货计划后，于次月10日前凭国家正式发票及采购人确认的供货单向采购人申请付款，采购人在收到申请等额有效发票后的15天内结清当月所有货款。每月结算一次，先抵扣预付款，预付款抵扣完毕后，当月不足抵扣的据实结算。</w:t>
            </w:r>
          </w:p>
        </w:tc>
      </w:tr>
      <w:tr>
        <w:tc>
          <w:tcPr>
            <w:tcW w:type="dxa" w:w="4153"/>
          </w:tcPr>
          <w:p>
            <w:r>
              <w:rPr/>
              <w:t>验收要求</w:t>
            </w:r>
          </w:p>
        </w:tc>
        <w:tc>
          <w:tcPr>
            <w:tcW w:type="dxa" w:w="4153"/>
          </w:tcPr>
          <w:p/>
          <w:p/>
          <w:p/>
          <w:p>
            <w:r>
              <w:rPr/>
              <w:t>1期：详见第二章《采购需求》</w:t>
            </w:r>
          </w:p>
        </w:tc>
      </w:tr>
      <w:tr>
        <w:tc>
          <w:tcPr>
            <w:tcW w:type="dxa" w:w="4153"/>
          </w:tcPr>
          <w:p>
            <w:r>
              <w:rPr/>
              <w:t>履约保证金</w:t>
            </w:r>
          </w:p>
        </w:tc>
        <w:tc>
          <w:tcPr>
            <w:tcW w:type="dxa" w:w="4153"/>
          </w:tcPr>
          <w:p/>
          <w:p/>
          <w:p/>
          <w:p/>
          <w:p>
            <w:r>
              <w:rPr/>
              <w:t>收取比例：5%,说明：详见第二章《采购需求》</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r>
              <w:rPr/>
              <w:t>△</w:t>
            </w:r>
          </w:p>
        </w:tc>
        <w:tc>
          <w:tcPr>
            <w:tcW w:type="dxa" w:w="748"/>
          </w:tcPr>
          <w:p>
            <w:pPr>
              <w:jc w:val="left"/>
            </w:pPr>
            <w:r>
              <w:rPr/>
              <w:t>其他农作物副产品</w:t>
            </w:r>
          </w:p>
        </w:tc>
        <w:tc>
          <w:tcPr>
            <w:tcW w:type="dxa" w:w="748"/>
          </w:tcPr>
          <w:p>
            <w:pPr>
              <w:jc w:val="left"/>
            </w:pPr>
            <w:r>
              <w:rPr/>
              <w:t>籼米</w:t>
            </w:r>
          </w:p>
        </w:tc>
        <w:tc>
          <w:tcPr>
            <w:tcW w:type="dxa" w:w="748"/>
          </w:tcPr>
          <w:p>
            <w:pPr>
              <w:jc w:val="left"/>
            </w:pPr>
            <w:r>
              <w:rPr/>
              <w:t>批</w:t>
            </w:r>
          </w:p>
        </w:tc>
        <w:tc>
          <w:tcPr>
            <w:tcW w:type="dxa" w:w="748"/>
          </w:tcPr>
          <w:p>
            <w:pPr>
              <w:jc w:val="right"/>
            </w:pPr>
            <w:r>
              <w:rPr/>
              <w:t>1.00</w:t>
            </w:r>
          </w:p>
        </w:tc>
        <w:tc>
          <w:tcPr>
            <w:tcW w:type="dxa" w:w="748"/>
          </w:tcPr>
          <w:p>
            <w:pPr>
              <w:jc w:val="right"/>
            </w:pPr>
            <w:r>
              <w:rPr/>
              <w:t>6,259,755.84</w:t>
            </w:r>
          </w:p>
        </w:tc>
        <w:tc>
          <w:tcPr>
            <w:tcW w:type="dxa" w:w="748"/>
          </w:tcPr>
          <w:p>
            <w:pPr>
              <w:jc w:val="right"/>
            </w:pPr>
            <w:r>
              <w:rPr/>
              <w:t>6,259,755.84</w:t>
            </w:r>
          </w:p>
        </w:tc>
        <w:tc>
          <w:tcPr>
            <w:tcW w:type="dxa" w:w="748"/>
          </w:tcPr>
          <w:p>
            <w:r>
              <w:rPr/>
              <w:t>78.75</w:t>
            </w:r>
          </w:p>
        </w:tc>
        <w:tc>
          <w:tcPr>
            <w:tcW w:type="dxa" w:w="823"/>
          </w:tcPr>
          <w:p>
            <w:r>
              <w:rPr/>
              <w:t>工业</w:t>
            </w:r>
          </w:p>
        </w:tc>
        <w:tc>
          <w:tcPr>
            <w:tcW w:type="dxa" w:w="748"/>
          </w:tcPr>
          <w:p>
            <w:r>
              <w:rPr/>
              <w:t>详见附表一</w:t>
            </w:r>
          </w:p>
        </w:tc>
      </w:tr>
      <w:tr>
        <w:tc>
          <w:tcPr>
            <w:tcW w:type="dxa" w:w="748"/>
          </w:tcPr>
          <w:p>
            <w:pPr>
              <w:jc w:val="center"/>
            </w:pPr>
            <w:r>
              <w:rPr/>
              <w:t>2</w:t>
            </w:r>
          </w:p>
        </w:tc>
        <w:tc>
          <w:tcPr>
            <w:tcW w:type="dxa" w:w="748"/>
          </w:tcPr>
          <w:p>
            <w:pPr>
              <w:jc w:val="center"/>
            </w:pPr>
          </w:p>
        </w:tc>
        <w:tc>
          <w:tcPr>
            <w:tcW w:type="dxa" w:w="748"/>
          </w:tcPr>
          <w:p>
            <w:pPr>
              <w:jc w:val="left"/>
            </w:pPr>
            <w:r>
              <w:rPr/>
              <w:t>其他农副食品，动、植物油制品</w:t>
            </w:r>
          </w:p>
        </w:tc>
        <w:tc>
          <w:tcPr>
            <w:tcW w:type="dxa" w:w="748"/>
          </w:tcPr>
          <w:p>
            <w:pPr>
              <w:jc w:val="left"/>
            </w:pPr>
            <w:r>
              <w:rPr/>
              <w:t>食用油</w:t>
            </w:r>
          </w:p>
        </w:tc>
        <w:tc>
          <w:tcPr>
            <w:tcW w:type="dxa" w:w="748"/>
          </w:tcPr>
          <w:p>
            <w:pPr>
              <w:jc w:val="left"/>
            </w:pPr>
            <w:r>
              <w:rPr/>
              <w:t>项</w:t>
            </w:r>
          </w:p>
        </w:tc>
        <w:tc>
          <w:tcPr>
            <w:tcW w:type="dxa" w:w="748"/>
          </w:tcPr>
          <w:p>
            <w:pPr>
              <w:jc w:val="right"/>
            </w:pPr>
            <w:r>
              <w:rPr/>
              <w:t>1.00</w:t>
            </w:r>
          </w:p>
        </w:tc>
        <w:tc>
          <w:tcPr>
            <w:tcW w:type="dxa" w:w="748"/>
          </w:tcPr>
          <w:p>
            <w:pPr>
              <w:jc w:val="right"/>
            </w:pPr>
            <w:r>
              <w:rPr/>
              <w:t>1,688,788.65</w:t>
            </w:r>
          </w:p>
        </w:tc>
        <w:tc>
          <w:tcPr>
            <w:tcW w:type="dxa" w:w="748"/>
          </w:tcPr>
          <w:p>
            <w:pPr>
              <w:jc w:val="right"/>
            </w:pPr>
            <w:r>
              <w:rPr/>
              <w:t>1,688,788.65</w:t>
            </w:r>
          </w:p>
        </w:tc>
        <w:tc>
          <w:tcPr>
            <w:tcW w:type="dxa" w:w="748"/>
          </w:tcPr>
          <w:p>
            <w:r>
              <w:rPr/>
              <w:t>21.25</w:t>
            </w:r>
          </w:p>
        </w:tc>
        <w:tc>
          <w:tcPr>
            <w:tcW w:type="dxa" w:w="823"/>
          </w:tcPr>
          <w:p>
            <w:r>
              <w:rPr/>
              <w:t>工业</w:t>
            </w:r>
          </w:p>
        </w:tc>
        <w:tc>
          <w:tcPr>
            <w:tcW w:type="dxa" w:w="748"/>
          </w:tcPr>
          <w:p>
            <w:r>
              <w:rPr/>
              <w:t>详见附表二</w:t>
            </w:r>
          </w:p>
        </w:tc>
      </w:tr>
    </w:tbl>
    <w:p>
      <w:r>
        <w:rPr/>
        <w:t>备注：最终综合总报价=（各产品报价×各项产品权重）的相加值</w:t>
      </w:r>
    </w:p>
    <w:p/>
    <w:p>
      <w:r>
        <w:rPr>
          <w:b/>
        </w:rPr>
        <w:t>附表</w:t>
      </w:r>
      <w:r>
        <w:rPr>
          <w:b/>
        </w:rPr>
        <w:t>一</w:t>
      </w:r>
      <w:r>
        <w:rPr>
          <w:b/>
        </w:rPr>
        <w:t>：</w:t>
      </w:r>
      <w:r>
        <w:rPr>
          <w:b/>
        </w:rPr>
        <w:t>籼米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合同执行过程中，如中标人提出提前终止合同的，需片区内所有监狱同步终止，不得选择终止其中某个或部分单位而保留另一部分单位继续供应；如监狱提出提前终止合同的，需片区所有监狱同步向中标供应商提出，同时终止所签订的合同。（</w:t>
            </w:r>
            <w:r>
              <w:rPr>
                <w:sz w:val="21"/>
              </w:rPr>
              <w:t>提供承诺函，可参照</w:t>
            </w:r>
            <w:r>
              <w:rPr>
                <w:sz w:val="21"/>
              </w:rPr>
              <w:t>“</w:t>
            </w:r>
            <w:r>
              <w:rPr>
                <w:sz w:val="21"/>
              </w:rPr>
              <w:t>投标文件格式</w:t>
            </w:r>
            <w:r>
              <w:rPr>
                <w:sz w:val="21"/>
              </w:rPr>
              <w:t>”</w:t>
            </w:r>
            <w:r>
              <w:rPr>
                <w:sz w:val="21"/>
              </w:rPr>
              <w:t>中《承诺函》格式）</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食用油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合同执行过程中，如中标人提出提前终止合同的，需片区内所有监狱同步终止，不得选择终止其中某个或部分单位而保留另一部分单位继续供应；如监狱提出提前终止合同的，需片区所有监狱同步向中标供应商提出，同时终止所签订的合同。（提供承诺函，可参照“投标文件格式”中《承诺函》格式）</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1.采购代理机构：本项目是指广东省政府采购中心，负责整个采购活动的组织，依法负责编制和发布招标文件，对招标文件拥有最终的解释权，不以任何身份出任评标委员会成员。</w:t>
      </w:r>
    </w:p>
    <w:p>
      <w:pPr>
        <w:ind w:firstLine="480"/>
      </w:pPr>
      <w:r>
        <w:rPr/>
        <w:t>2.采购人：本项目是指</w:t>
      </w:r>
      <w:r>
        <w:rPr/>
        <w:t>广东省未成年犯管教所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采购机构代理服务收费标准：按双方委托代理协议规定。</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广东省政府采购中心（http://gpcgd.gd.gov.cn/）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龚小姐/陈先生</w:t>
      </w:r>
    </w:p>
    <w:p>
      <w:pPr>
        <w:ind w:firstLine="480"/>
      </w:pPr>
      <w:r>
        <w:rPr/>
        <w:t>电话：</w:t>
      </w:r>
      <w:r>
        <w:rPr/>
        <w:t>020-83196816/83187086</w:t>
      </w:r>
    </w:p>
    <w:p>
      <w:pPr>
        <w:ind w:firstLine="480"/>
      </w:pPr>
      <w:r>
        <w:rPr/>
        <w:t>传真：</w:t>
      </w:r>
      <w:r>
        <w:rPr/>
        <w:t>020-83196816/83187086</w:t>
      </w:r>
    </w:p>
    <w:p>
      <w:pPr>
        <w:ind w:firstLine="480"/>
      </w:pPr>
      <w:r>
        <w:rPr/>
        <w:t>邮箱：</w:t>
      </w:r>
      <w:r>
        <w:rPr/>
        <w:t>gpcgdzgke@gd.gov.cn</w:t>
      </w:r>
    </w:p>
    <w:p>
      <w:pPr>
        <w:ind w:firstLine="480"/>
      </w:pPr>
      <w:r>
        <w:rPr/>
        <w:t>地址：</w:t>
      </w:r>
      <w:r>
        <w:rPr/>
        <w:t>广州市越秀区越华路112号珠江国际大厦3楼质管科</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片区省属监狱2023-2024年度罪犯大宗生活物资（大米及食用油）采购项目的第1包)：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广东省政府采购中心</w:t>
      </w:r>
      <w:r>
        <w:rPr/>
        <w:t>统一对外发布。</w:t>
      </w:r>
    </w:p>
    <w:p>
      <w:pPr>
        <w:ind w:firstLine="480"/>
      </w:pPr>
      <w:r>
        <w:rPr/>
        <w:t>（2）对</w:t>
      </w:r>
      <w:r>
        <w:rPr/>
        <w:t>广东省政府采购中心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采购包1（广州片区省属监狱2023-2024年度罪犯大宗生活物资（大米及食用油）采购项目的第1包）：</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采购包1（广州片区省属监狱2023-2024年度罪犯大宗生活物资（大米及食用油）采购项目的第1包）：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供应商必须具有良好的商业信誉和健全的财务会计制度（①2022年度财务状况报告；②基本开户行出具的资信证明和《基本存款账号信息》）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投标人资质</w:t>
            </w:r>
          </w:p>
        </w:tc>
        <w:tc>
          <w:tcPr>
            <w:tcW w:type="dxa" w:w="4238"/>
          </w:tcPr>
          <w:p>
            <w:r>
              <w:rPr/>
              <w:t>投标人具备以下情形之一： ①具有有效的《食品生产许可证》或《食品经营许可证》，投标时提供证书复印件。 ②已在食品安全监督管理部门办理仅销售预包装食品的备案，投标时提供备案证明材料。 ③承诺签认合同后到食品安全监督管理部门办理仅销售预包装食品的备案，投标时提供承诺函。</w:t>
            </w:r>
          </w:p>
        </w:tc>
      </w:tr>
      <w:tr>
        <w:tc>
          <w:tcPr>
            <w:tcW w:type="dxa" w:w="890"/>
          </w:tcPr>
          <w:p>
            <w:r>
              <w:rPr/>
              <w:t>9</w:t>
            </w:r>
          </w:p>
        </w:tc>
        <w:tc>
          <w:tcPr>
            <w:tcW w:type="dxa" w:w="3178"/>
          </w:tcPr>
          <w:p>
            <w:r>
              <w:rPr/>
              <w:t>本项目不接受联合体投标，不允许分包、转包。</w:t>
            </w:r>
          </w:p>
        </w:tc>
        <w:tc>
          <w:tcPr>
            <w:tcW w:type="dxa" w:w="4238"/>
          </w:tcPr>
          <w:p>
            <w:r>
              <w:rPr/>
              <w:t>本项目不接受联合体投标，不允许分包、转包。</w:t>
            </w:r>
          </w:p>
        </w:tc>
      </w:tr>
      <w:tr>
        <w:tc>
          <w:tcPr>
            <w:tcW w:type="dxa" w:w="890"/>
          </w:tcPr>
          <w:p>
            <w:r>
              <w:rPr/>
              <w:t>10</w:t>
            </w:r>
          </w:p>
        </w:tc>
        <w:tc>
          <w:tcPr>
            <w:tcW w:type="dxa" w:w="3178"/>
          </w:tcPr>
          <w:p>
            <w:r>
              <w:rPr/>
              <w:t>本采购包专门面向中小企业采购</w:t>
            </w:r>
          </w:p>
        </w:tc>
        <w:tc>
          <w:tcPr>
            <w:tcW w:type="dxa" w:w="4238"/>
          </w:tcPr>
          <w:p>
            <w:r>
              <w:rPr/>
              <w:t>本项目属于专门面向中小企业的采购，供应商所提供的货物须全部由中小企业生产且使用该中小企业商号或者注册商标，中小企业须为符合采购标的对应行业（本项目行业为：工业）划分标准的中小企业（监狱企业、残疾人福利单位视同小型、微型企业）。 注：中小企业以供应商填写的（货物类）《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采购包1（广州片区省属监狱2023-2024年度罪犯大宗生活物资（大米及食用油）采购项目的第1包）：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投标报价(折扣率)是固定价且是唯一的，且报价（折扣率）未超过 100%。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2</w:t>
            </w:r>
          </w:p>
        </w:tc>
        <w:tc>
          <w:tcPr>
            <w:tcW w:type="dxa" w:w="3178"/>
          </w:tcPr>
          <w:p>
            <w:r>
              <w:rPr/>
              <w:t>报价漏项</w:t>
            </w:r>
          </w:p>
        </w:tc>
        <w:tc>
          <w:tcPr>
            <w:tcW w:type="dxa" w:w="4238"/>
          </w:tcPr>
          <w:p>
            <w:r>
              <w:rPr/>
              <w:t>对标的内容没有报价漏项。</w:t>
            </w:r>
          </w:p>
        </w:tc>
      </w:tr>
      <w:tr>
        <w:tc>
          <w:tcPr>
            <w:tcW w:type="dxa" w:w="890"/>
          </w:tcPr>
          <w:p>
            <w:r>
              <w:rPr/>
              <w:t>3</w:t>
            </w:r>
          </w:p>
        </w:tc>
        <w:tc>
          <w:tcPr>
            <w:tcW w:type="dxa" w:w="3178"/>
          </w:tcPr>
          <w:p>
            <w:r>
              <w:rPr/>
              <w:t>提交投标函</w:t>
            </w:r>
          </w:p>
        </w:tc>
        <w:tc>
          <w:tcPr>
            <w:tcW w:type="dxa" w:w="4238"/>
          </w:tcPr>
          <w:p>
            <w:r>
              <w:rPr/>
              <w:t>提交投标函。投标内容基本完整，无重大错漏，并按要求签署、盖章。</w:t>
            </w:r>
          </w:p>
        </w:tc>
      </w:tr>
      <w:tr>
        <w:tc>
          <w:tcPr>
            <w:tcW w:type="dxa" w:w="890"/>
          </w:tcPr>
          <w:p>
            <w:r>
              <w:rPr/>
              <w:t>4</w:t>
            </w:r>
          </w:p>
        </w:tc>
        <w:tc>
          <w:tcPr>
            <w:tcW w:type="dxa" w:w="3178"/>
          </w:tcPr>
          <w:p>
            <w:r>
              <w:rPr/>
              <w:t>资格证明书及授权委托书</w:t>
            </w:r>
          </w:p>
        </w:tc>
        <w:tc>
          <w:tcPr>
            <w:tcW w:type="dxa" w:w="4238"/>
          </w:tcPr>
          <w:p>
            <w:r>
              <w:rPr/>
              <w:t>法定代表人/负责人资格证明书及授权委托书，按对应格式文件签署、盖章。</w:t>
            </w:r>
          </w:p>
        </w:tc>
      </w:tr>
      <w:tr>
        <w:tc>
          <w:tcPr>
            <w:tcW w:type="dxa" w:w="890"/>
          </w:tcPr>
          <w:p>
            <w:r>
              <w:rPr/>
              <w:t>5</w:t>
            </w:r>
          </w:p>
        </w:tc>
        <w:tc>
          <w:tcPr>
            <w:tcW w:type="dxa" w:w="3178"/>
          </w:tcPr>
          <w:p>
            <w:r>
              <w:rPr/>
              <w:t>“★”号条款</w:t>
            </w:r>
          </w:p>
        </w:tc>
        <w:tc>
          <w:tcPr>
            <w:tcW w:type="dxa" w:w="4238"/>
          </w:tcPr>
          <w:p>
            <w:r>
              <w:rPr/>
              <w:t>“★”号条款满足招标文件要求。</w:t>
            </w:r>
          </w:p>
        </w:tc>
      </w:tr>
      <w:tr>
        <w:tc>
          <w:tcPr>
            <w:tcW w:type="dxa" w:w="890"/>
          </w:tcPr>
          <w:p>
            <w:r>
              <w:rPr/>
              <w:t>6</w:t>
            </w:r>
          </w:p>
        </w:tc>
        <w:tc>
          <w:tcPr>
            <w:tcW w:type="dxa" w:w="3178"/>
          </w:tcPr>
          <w:p>
            <w:r>
              <w:rPr/>
              <w:t>附加条件</w:t>
            </w:r>
          </w:p>
        </w:tc>
        <w:tc>
          <w:tcPr>
            <w:tcW w:type="dxa" w:w="4238"/>
          </w:tcPr>
          <w:p>
            <w:r>
              <w:rPr/>
              <w:t>没有采购人不能接受的附加条件的。</w:t>
            </w:r>
          </w:p>
        </w:tc>
      </w:tr>
      <w:tr>
        <w:tc>
          <w:tcPr>
            <w:tcW w:type="dxa" w:w="890"/>
          </w:tcPr>
          <w:p>
            <w:r>
              <w:rPr/>
              <w:t>7</w:t>
            </w:r>
          </w:p>
        </w:tc>
        <w:tc>
          <w:tcPr>
            <w:tcW w:type="dxa" w:w="3178"/>
          </w:tcPr>
          <w:p>
            <w:r>
              <w:rPr/>
              <w:t>投标有效期</w:t>
            </w:r>
          </w:p>
        </w:tc>
        <w:tc>
          <w:tcPr>
            <w:tcW w:type="dxa" w:w="4238"/>
          </w:tcPr>
          <w:p>
            <w:r>
              <w:rPr/>
              <w:t>投标有效期为投标截止日起不少于90天。</w:t>
            </w:r>
          </w:p>
        </w:tc>
      </w:tr>
      <w:tr>
        <w:tc>
          <w:tcPr>
            <w:tcW w:type="dxa" w:w="890"/>
          </w:tcPr>
          <w:p>
            <w:r>
              <w:rPr/>
              <w:t>8</w:t>
            </w:r>
          </w:p>
        </w:tc>
        <w:tc>
          <w:tcPr>
            <w:tcW w:type="dxa" w:w="3178"/>
          </w:tcPr>
          <w:p>
            <w:r>
              <w:rPr/>
              <w:t>报价修正</w:t>
            </w:r>
          </w:p>
        </w:tc>
        <w:tc>
          <w:tcPr>
            <w:tcW w:type="dxa" w:w="4238"/>
          </w:tcPr>
          <w:p>
            <w:r>
              <w:rPr/>
              <w:t>如有报价修正的,投标人按规定要求书面确认。</w:t>
            </w:r>
          </w:p>
        </w:tc>
      </w:tr>
      <w:tr>
        <w:tc>
          <w:tcPr>
            <w:tcW w:type="dxa" w:w="890"/>
          </w:tcPr>
          <w:p>
            <w:r>
              <w:rPr/>
              <w:t>9</w:t>
            </w:r>
          </w:p>
        </w:tc>
        <w:tc>
          <w:tcPr>
            <w:tcW w:type="dxa" w:w="3178"/>
          </w:tcPr>
          <w:p>
            <w:r>
              <w:rPr/>
              <w:t>串标投标</w:t>
            </w:r>
          </w:p>
        </w:tc>
        <w:tc>
          <w:tcPr>
            <w:tcW w:type="dxa" w:w="4238"/>
          </w:tcPr>
          <w:p>
            <w:r>
              <w:rPr/>
              <w:t>未出现视为投标人串标投标所列的情形。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采购包1(广州片区省属监狱2023-2024年度罪犯大宗生活物资（大米及食用油）采购项目的第1包):</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技术部分35.0分</w:t>
            </w:r>
          </w:p>
          <w:p>
            <w:r>
              <w:rPr/>
              <w:t>报价得分40.0分</w:t>
            </w:r>
          </w:p>
        </w:tc>
      </w:tr>
      <w:tr>
        <w:tc>
          <w:tcPr>
            <w:tcW w:type="dxa" w:w="922"/>
            <w:gridSpan w:val="2"/>
            <w:vMerge w:val="restart"/>
          </w:tcPr>
          <w:p>
            <w:pPr>
              <w:jc w:val="center"/>
            </w:pPr>
            <w:r>
              <w:rPr/>
              <w:t>技术部分</w:t>
            </w:r>
          </w:p>
        </w:tc>
        <w:tc>
          <w:tcPr>
            <w:tcW w:type="dxa" w:w="2307"/>
          </w:tcPr>
          <w:p>
            <w:pPr>
              <w:jc w:val="left"/>
            </w:pPr>
            <w:r>
              <w:rPr/>
              <w:t>对《用户需求书》 响应程度 (4.0分)</w:t>
            </w:r>
          </w:p>
        </w:tc>
        <w:tc>
          <w:tcPr>
            <w:tcW w:type="dxa" w:w="5076"/>
          </w:tcPr>
          <w:p>
            <w:pPr>
              <w:jc w:val="left"/>
            </w:pPr>
            <w:r>
              <w:rPr/>
              <w:t>用户需求书中标注▲的条款，共计4项。每满足一项得1分。本项最多得4分。 注：供应商需在响应文件中对技术参数逐条响应，说明响应情况，如用户需求书有要求提供具体证明材料的，需按用户需求书要求提供，如用户需求书无明确要求提供的证明材料，则以报价人提供的《技术和服务要求响应表》响应情况为准，不按要求提供或提供不符的视为负偏离。</w:t>
            </w:r>
          </w:p>
        </w:tc>
      </w:tr>
      <w:tr>
        <w:tc>
          <w:tcPr>
            <w:tcW w:type="dxa" w:w="922"/>
            <w:gridSpan w:val="2"/>
            <w:vMerge/>
          </w:tcPr>
          <w:p/>
        </w:tc>
        <w:tc>
          <w:tcPr>
            <w:tcW w:type="dxa" w:w="2307"/>
          </w:tcPr>
          <w:p>
            <w:pPr>
              <w:jc w:val="left"/>
            </w:pPr>
            <w:r>
              <w:rPr/>
              <w:t>食品安全追溯能力 (4.0分)</w:t>
            </w:r>
          </w:p>
        </w:tc>
        <w:tc>
          <w:tcPr>
            <w:tcW w:type="dxa" w:w="5076"/>
          </w:tcPr>
          <w:p>
            <w:pPr>
              <w:jc w:val="left"/>
            </w:pPr>
            <w:r>
              <w:rPr/>
              <w:t>投标人具有可实现食品安全（质量）追溯管理功能系统的，得4分。 备注： （1）投标人自有追溯系统的，需提供追溯系统的计算机软件著作权登记证书或购买合同、发票复印件； （2）投标人租赁食品安全(质量)相关追溯系统或委托具有食品安全(质量)相关追溯系统的第三方实施的，须提供租赁协议或委托协议及追溯系统的计算机软件著作权登记证书。如租赁期或委托期不能覆盖合同期的，投标人还应提交承诺函（格式自拟）并加盖投标人公章，承诺租赁或委托到期后将继续租赁或委托（或购买）。</w:t>
            </w:r>
          </w:p>
        </w:tc>
      </w:tr>
      <w:tr>
        <w:tc>
          <w:tcPr>
            <w:tcW w:type="dxa" w:w="922"/>
            <w:gridSpan w:val="2"/>
            <w:vMerge/>
          </w:tcPr>
          <w:p/>
        </w:tc>
        <w:tc>
          <w:tcPr>
            <w:tcW w:type="dxa" w:w="2307"/>
          </w:tcPr>
          <w:p>
            <w:pPr>
              <w:jc w:val="left"/>
            </w:pPr>
            <w:r>
              <w:rPr/>
              <w:t>食品安全检测能力 (6.0分)</w:t>
            </w:r>
          </w:p>
        </w:tc>
        <w:tc>
          <w:tcPr>
            <w:tcW w:type="dxa" w:w="5076"/>
          </w:tcPr>
          <w:p>
            <w:pPr>
              <w:jc w:val="left"/>
            </w:pPr>
            <w:r>
              <w:rPr/>
              <w:t>对投标人自有的或其合作的粮油、大米供货厂家食品质量安全检测能力进行评价： 真菌霉素检测仪、农药残留检测仪、细菌检测仪、食品添加剂检测仪、食品重金属检测仪、油品油料检测仪。每具有一项检测设备或检测功能的得1分，本项最高得6分。   备注： （1）须同时提供检测设备清单、检测设备图片和检测设备的佐证资料。佐证资料要求：如设备为自有的，须提供设备购买发票复印件；如设备为租赁的，须提供租赁合同（租赁期须包含本项目供货期）复印件。如设备租赁期不能覆盖合同期的，投标人还应提交承诺函（格式自拟）并加盖投标人公章，承诺租赁到期后将继续租赁（或购买）不低于投标时检测能力的检测设备，确保合同期提供及时、有效的大米、食用油检测服务。未提供或提供资料不完整、不清晰的，不得分； （2）若投标人提供的相关设施设备为合作厂家所有的，应同时提供与厂家的供货协议或合同复印件（加盖公章）； （3）如设备名称不一致但检测功能相同，或同一设备具有多种检测功能的，投标人须提供说明。不提供说明的不得分。</w:t>
            </w:r>
          </w:p>
        </w:tc>
      </w:tr>
      <w:tr>
        <w:tc>
          <w:tcPr>
            <w:tcW w:type="dxa" w:w="922"/>
            <w:gridSpan w:val="2"/>
            <w:vMerge/>
          </w:tcPr>
          <w:p/>
        </w:tc>
        <w:tc>
          <w:tcPr>
            <w:tcW w:type="dxa" w:w="2307"/>
          </w:tcPr>
          <w:p>
            <w:pPr>
              <w:jc w:val="left"/>
            </w:pPr>
            <w:r>
              <w:rPr/>
              <w:t>质量安全保证措施 (3.0分)</w:t>
            </w:r>
          </w:p>
        </w:tc>
        <w:tc>
          <w:tcPr>
            <w:tcW w:type="dxa" w:w="5076"/>
          </w:tcPr>
          <w:p>
            <w:pPr>
              <w:jc w:val="left"/>
            </w:pPr>
            <w:r>
              <w:rPr/>
              <w:t>根据需求中“（三）质量、安全及包装要求”第3点，针对投标人提供的质量安全保证措施进行评审： 1、完全符合且优于采购需求的，得3分； 2、完全符合采购需求的，得2分； 3、不完全符合采购需求的，得1分； 4、未提供质量及安全保证措施，或未提供投标产品来源，不得分。</w:t>
            </w:r>
          </w:p>
        </w:tc>
      </w:tr>
      <w:tr>
        <w:tc>
          <w:tcPr>
            <w:tcW w:type="dxa" w:w="922"/>
            <w:gridSpan w:val="2"/>
            <w:vMerge/>
          </w:tcPr>
          <w:p/>
        </w:tc>
        <w:tc>
          <w:tcPr>
            <w:tcW w:type="dxa" w:w="2307"/>
          </w:tcPr>
          <w:p>
            <w:pPr>
              <w:jc w:val="left"/>
            </w:pPr>
            <w:r>
              <w:rPr/>
              <w:t>管理体系认证情况 (4.0分)</w:t>
            </w:r>
          </w:p>
        </w:tc>
        <w:tc>
          <w:tcPr>
            <w:tcW w:type="dxa" w:w="5076"/>
          </w:tcPr>
          <w:p>
            <w:pPr>
              <w:jc w:val="left"/>
            </w:pPr>
            <w:r>
              <w:rPr/>
              <w:t>一、投标人或大米生产企业情况（2分） 投标人或大米生产企业具有管理体系认证情况： 1、食品安全管理体系认证证书或HACCP危害分析与关键控制点体系认证证书； 2、质量管理体系认证证书； 每具有一项证书得1分，满分2分。 备注： （1）须提供有效期内的认证证书复印件和网站公布的链接信息资料【网址以http://www.cnca.gov.cn网站公布为准】； （2）如投标人非大米生产企业，则提供所投大米生产企业的有关证书，同时提供双方签订的供货合同或供货协议复印件； （3）证书已失效、已暂停或者撤销的不得分。新设立企业由于成立时间不足3个月导致未获得证书的，相应得分。 二、投标人或食用油生产企业情况（2分） 投标人或食用油生产企业具有管理体系认证情况： 1、食品安全管理体系认证证书或HACCP危害分析与关键控制点体系认证证书； 2、质量管理体系认证证书； 每具有一项证书得1分，满分2分。 备注： （1）须提供有效期内的认证证书复印件和网站公布的链接信息资料【网址以http://www.cnca.gov.cn网站公布为准】； （2）如投标人非食用油生产企业，则提供所投食用油生产企业的有关证书，同时提供双方签订的供货合同或供货协议复印件； （3）证书已失效、已暂停或者撤销的不得分。新设立企业由于成立时间不足3个月导致未获得证书的，相应得分。</w:t>
            </w:r>
          </w:p>
        </w:tc>
      </w:tr>
      <w:tr>
        <w:tc>
          <w:tcPr>
            <w:tcW w:type="dxa" w:w="922"/>
            <w:gridSpan w:val="2"/>
            <w:vMerge/>
          </w:tcPr>
          <w:p/>
        </w:tc>
        <w:tc>
          <w:tcPr>
            <w:tcW w:type="dxa" w:w="2307"/>
          </w:tcPr>
          <w:p>
            <w:pPr>
              <w:jc w:val="left"/>
            </w:pPr>
            <w:r>
              <w:rPr/>
              <w:t>大米保障能力 (6.0分)</w:t>
            </w:r>
          </w:p>
        </w:tc>
        <w:tc>
          <w:tcPr>
            <w:tcW w:type="dxa" w:w="5076"/>
          </w:tcPr>
          <w:p>
            <w:pPr>
              <w:jc w:val="left"/>
            </w:pPr>
            <w:r>
              <w:rPr/>
              <w:t>1、所投大米品牌为投标人所有或代理经营，且投标人具有大米生产能力，得6分； 2、所投大米品牌为投标人所有或代理经营，如投标人无大米生产能力，得4分； 3、未提供商标注册或代理证明，不得分。 备注： （1）所投大米品牌为投标人所有：须提供商标注册证书复印件及商标查询网址及截图； （2）具有大米生产能力：须提供大米生产线相关设备购置发票复印件、加工厂实地照片、加工厂厂房产权证明复印件或租赁合同复印件、加工厂的有效期内生产许可证； （3）所投大米品牌为代理经营：须提供生产企业名称、地址、负责人及其电话，同时提供代理合作协议复印件、生产企业营业执照复印件，工商登记信息（系统查询截图），生产许可证复印件，所代理品牌的商标注册证书复印件及商标查询网址及截图。</w:t>
            </w:r>
          </w:p>
        </w:tc>
      </w:tr>
      <w:tr>
        <w:tc>
          <w:tcPr>
            <w:tcW w:type="dxa" w:w="922"/>
            <w:gridSpan w:val="2"/>
            <w:vMerge/>
          </w:tcPr>
          <w:p/>
        </w:tc>
        <w:tc>
          <w:tcPr>
            <w:tcW w:type="dxa" w:w="2307"/>
          </w:tcPr>
          <w:p>
            <w:pPr>
              <w:jc w:val="left"/>
            </w:pPr>
            <w:r>
              <w:rPr/>
              <w:t>食用油保障能力 (4.0分)</w:t>
            </w:r>
          </w:p>
        </w:tc>
        <w:tc>
          <w:tcPr>
            <w:tcW w:type="dxa" w:w="5076"/>
          </w:tcPr>
          <w:p>
            <w:pPr>
              <w:jc w:val="left"/>
            </w:pPr>
            <w:r>
              <w:rPr/>
              <w:t>1、所投食用油品牌为投标人所有或代理经营，且投标人具有食用油生产能力，得4分； 2、所投食用油品牌为投标人所有或代理经营，如投标人无食用油生产能力，得2分； 3、未提供商标注册或代理证明，不得分。 备注： （1）所投食用油品牌为投标人所有：须提供商标注册证书复印件及商标查询网址及截图； （2）具有食用油加能力：须提供食用油生产线相关设备购置发票复印件、加工厂实地照片、加工厂厂房产权证明复印件或租赁合同复印件、加工厂的有效期内生产许可证； （3）所投食用油品牌为代理经营：须提供生产企业名称、地址、负责人及其电话，同时提供代理合作协议复印件、生产企业营业执照复印件，工商登记信息（系统查询截图），生产许可证复印件，所代理品牌的商标注册证书复印件及商标查询网址及截图。</w:t>
            </w:r>
          </w:p>
        </w:tc>
      </w:tr>
      <w:tr>
        <w:tc>
          <w:tcPr>
            <w:tcW w:type="dxa" w:w="922"/>
            <w:gridSpan w:val="2"/>
            <w:vMerge/>
          </w:tcPr>
          <w:p/>
        </w:tc>
        <w:tc>
          <w:tcPr>
            <w:tcW w:type="dxa" w:w="2307"/>
          </w:tcPr>
          <w:p>
            <w:pPr>
              <w:jc w:val="left"/>
            </w:pPr>
            <w:r>
              <w:rPr/>
              <w:t>投标样品品质 (4.0分)</w:t>
            </w:r>
          </w:p>
        </w:tc>
        <w:tc>
          <w:tcPr>
            <w:tcW w:type="dxa" w:w="5076"/>
          </w:tcPr>
          <w:p>
            <w:pPr>
              <w:jc w:val="left"/>
            </w:pPr>
            <w:r>
              <w:rPr/>
              <w:t>投标人提供不少于500g大米样品进行现场评审，按1、米型完整，无碎米；2、无黄粒米；3、无异常色泽；4、无异常气味。每满足一项得1分，最高得4分。 备注：未提供投标样品或其他情形的不得分。</w:t>
            </w:r>
          </w:p>
        </w:tc>
      </w:tr>
      <w:tr>
        <w:tc>
          <w:tcPr>
            <w:tcW w:type="dxa" w:w="922"/>
            <w:gridSpan w:val="2"/>
            <w:vMerge w:val="restart"/>
          </w:tcPr>
          <w:p>
            <w:pPr>
              <w:jc w:val="center"/>
            </w:pPr>
            <w:r>
              <w:rPr/>
              <w:t>商务部分</w:t>
            </w:r>
          </w:p>
        </w:tc>
        <w:tc>
          <w:tcPr>
            <w:tcW w:type="dxa" w:w="2307"/>
          </w:tcPr>
          <w:p>
            <w:pPr>
              <w:jc w:val="left"/>
            </w:pPr>
            <w:r>
              <w:rPr/>
              <w:t>食品安全责任保险 (4.0分)</w:t>
            </w:r>
          </w:p>
        </w:tc>
        <w:tc>
          <w:tcPr>
            <w:tcW w:type="dxa" w:w="5076"/>
          </w:tcPr>
          <w:p>
            <w:pPr>
              <w:jc w:val="left"/>
            </w:pPr>
            <w:r>
              <w:rPr/>
              <w:t>投标人对本项目配备有效的食品安全责任险，得4分。备注：（1）保险保额不低于项目预算金额； （2）已配备保险的，保险有效期应覆盖本项目合同期，如不能覆盖的，投标人还应提交承诺函（格式自拟），承诺保险到期后将继续购买食品安全责任保险，可有效覆盖合同期且保额不低于项目预算金额；（3）未配备保险的，投标人提交承诺函，承诺如中标将在签订合同后5个工作日内将保险配备到位（承诺函必须清晰明确购买赔付金额和购买到位时间），有效覆盖合同期且保额不低于项目预算金额。</w:t>
            </w:r>
          </w:p>
        </w:tc>
      </w:tr>
      <w:tr>
        <w:tc>
          <w:tcPr>
            <w:tcW w:type="dxa" w:w="922"/>
            <w:gridSpan w:val="2"/>
            <w:vMerge/>
          </w:tcPr>
          <w:p/>
        </w:tc>
        <w:tc>
          <w:tcPr>
            <w:tcW w:type="dxa" w:w="2307"/>
          </w:tcPr>
          <w:p>
            <w:pPr>
              <w:jc w:val="left"/>
            </w:pPr>
            <w:r>
              <w:rPr/>
              <w:t>同类项目业绩 (5.0分)</w:t>
            </w:r>
          </w:p>
        </w:tc>
        <w:tc>
          <w:tcPr>
            <w:tcW w:type="dxa" w:w="5076"/>
          </w:tcPr>
          <w:p>
            <w:pPr>
              <w:jc w:val="left"/>
            </w:pPr>
            <w:r>
              <w:rPr/>
              <w:t>投标人提供2020年1月1日起至今（以合同签订时间为准）同类项目（含有大米和食用油）业绩，每提供一项同类业绩得1分，最高5分。 备注： （1）投标人需提供合同关键页复印件、验收报告复印件、合同期内任意一次供货发票复印件及税务部门网站查询的相关发票信息截图；合同关键页应包括封面页、服务内容页、双方签字盖章； （2）合同中应同时包含大米和食用油，只含其一的不得分； （3）与同一客户签订多项合同的，只按一个业绩计分。</w:t>
            </w:r>
          </w:p>
        </w:tc>
      </w:tr>
      <w:tr>
        <w:tc>
          <w:tcPr>
            <w:tcW w:type="dxa" w:w="922"/>
            <w:gridSpan w:val="2"/>
            <w:vMerge/>
          </w:tcPr>
          <w:p/>
        </w:tc>
        <w:tc>
          <w:tcPr>
            <w:tcW w:type="dxa" w:w="2307"/>
          </w:tcPr>
          <w:p>
            <w:pPr>
              <w:jc w:val="left"/>
            </w:pPr>
            <w:r>
              <w:rPr/>
              <w:t>运输能力 (8.0分)</w:t>
            </w:r>
          </w:p>
        </w:tc>
        <w:tc>
          <w:tcPr>
            <w:tcW w:type="dxa" w:w="5076"/>
          </w:tcPr>
          <w:p>
            <w:pPr>
              <w:jc w:val="left"/>
            </w:pPr>
            <w:r>
              <w:rPr/>
              <w:t>1、投标人自有或租赁运输车辆5辆以上100吨，得8分； 2、投标人自有或租赁运输车辆4辆以上80吨，得5分； 3、投标人自有或租赁运输车辆3辆以上60吨，得2分； 4、少于3辆不得分。 备注： （1）投标人自有车辆：提供有效的机动车行驶证复印件和机动车登记证书复印件，车辆应为投标人所有； （2）投标人租赁车辆：提供有效的车辆租赁协议复印件、《机动车行驶证》复印件。如车辆租赁期不能覆盖合同期的，投标人还应提交承诺函（格式自拟），承诺租赁到期后将继续租赁（或购买）不低于投标时运载能力的运输车辆，确保合同期提供及时、稳定的物资配送服务。</w:t>
            </w:r>
          </w:p>
        </w:tc>
      </w:tr>
      <w:tr>
        <w:tc>
          <w:tcPr>
            <w:tcW w:type="dxa" w:w="922"/>
            <w:gridSpan w:val="2"/>
            <w:vMerge/>
          </w:tcPr>
          <w:p/>
        </w:tc>
        <w:tc>
          <w:tcPr>
            <w:tcW w:type="dxa" w:w="2307"/>
          </w:tcPr>
          <w:p>
            <w:pPr>
              <w:jc w:val="left"/>
            </w:pPr>
            <w:r>
              <w:rPr/>
              <w:t>项目人员配置 (4.0分)</w:t>
            </w:r>
          </w:p>
        </w:tc>
        <w:tc>
          <w:tcPr>
            <w:tcW w:type="dxa" w:w="5076"/>
          </w:tcPr>
          <w:p>
            <w:pPr>
              <w:jc w:val="left"/>
            </w:pPr>
            <w:r>
              <w:rPr/>
              <w:t>对投标人具有食品药品监督管理局或市场监督管理局颁发的食品安全管理人员考试合格证明情况进行评价： 具有高级食品安全管理人员考试合格证明的，每提供一个证明得2分；具有中级食品安全管理人员考试合格证明的，每提供一个证明得1分；具有初级食品安全管理人员考试合格证明的，每提供一个证明得0.5分。 本项最高得4分。 备注： (1)同一人如获得多个证书的，不可累计得分，以得分最高的证明计分。需提供获得证明人员的身份证及相关证书扫描件，并提供2023年4月以来任意一个月在投标人单位购买社保的证明材料扫描件，不提供不得分； （2）如食品安全管理人员考试合格证明有效期不能须覆盖合同期的，投标人还应提供承诺函（格式自拟）并加盖公章，承诺将按照不少于不低于评审得分证书等级和数量的原则组织人员考试合格或延长证明有效期，以确保本项目合同期内配备相应食品安全管理人员提供服务。</w:t>
            </w:r>
          </w:p>
        </w:tc>
      </w:tr>
      <w:tr>
        <w:tc>
          <w:tcPr>
            <w:tcW w:type="dxa" w:w="922"/>
            <w:gridSpan w:val="2"/>
            <w:vMerge/>
          </w:tcPr>
          <w:p/>
        </w:tc>
        <w:tc>
          <w:tcPr>
            <w:tcW w:type="dxa" w:w="2307"/>
          </w:tcPr>
          <w:p>
            <w:pPr>
              <w:jc w:val="left"/>
            </w:pPr>
            <w:r>
              <w:rPr/>
              <w:t>配送及应急服务方案 (4.0分)</w:t>
            </w:r>
          </w:p>
        </w:tc>
        <w:tc>
          <w:tcPr>
            <w:tcW w:type="dxa" w:w="5076"/>
          </w:tcPr>
          <w:p>
            <w:pPr>
              <w:jc w:val="left"/>
            </w:pPr>
            <w:r>
              <w:rPr/>
              <w:t>根据需求中“五、配送要求与货款支付（一）、（二）、（三）、（四）、（五）”和“七、应急保障”，针对投标人提供的配送及应急服务方案进行评审： 1、完全符合且优于采购需求的，得4分； 2、完全符合采购需求的，得3分； 3、不完全符合采购需求的，得2分；   4、未提供不得分。</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44"/>
        </w:rPr>
        <w:t>广东省××监狱</w:t>
      </w:r>
    </w:p>
    <w:p>
      <w:pPr>
        <w:jc w:val="center"/>
      </w:pPr>
      <w:r>
        <w:rPr>
          <w:b/>
          <w:sz w:val="44"/>
        </w:rPr>
        <w:t>2023-2024</w:t>
      </w:r>
      <w:r>
        <w:rPr>
          <w:b/>
          <w:sz w:val="44"/>
        </w:rPr>
        <w:t>年度罪犯大宗生活物资</w:t>
      </w:r>
    </w:p>
    <w:p>
      <w:pPr>
        <w:jc w:val="center"/>
      </w:pPr>
      <w:r>
        <w:rPr>
          <w:b/>
          <w:sz w:val="44"/>
        </w:rPr>
        <w:t>（大米及食用油）采购项目</w:t>
      </w:r>
    </w:p>
    <w:p>
      <w:pPr>
        <w:jc w:val="center"/>
      </w:pPr>
      <w:r>
        <w:rPr>
          <w:b/>
          <w:sz w:val="44"/>
        </w:rPr>
        <w:t>合  同  书</w:t>
      </w:r>
    </w:p>
    <w:p>
      <w:pPr>
        <w:jc w:val="both"/>
      </w:pPr>
    </w:p>
    <w:p>
      <w:pPr>
        <w:jc w:val="both"/>
      </w:pPr>
    </w:p>
    <w:p>
      <w:pPr>
        <w:jc w:val="both"/>
      </w:pPr>
    </w:p>
    <w:p>
      <w:pPr>
        <w:jc w:val="both"/>
      </w:pPr>
    </w:p>
    <w:p>
      <w:pPr>
        <w:jc w:val="both"/>
      </w:pPr>
    </w:p>
    <w:p>
      <w:pPr>
        <w:jc w:val="both"/>
      </w:pPr>
      <w:r>
        <w:rPr>
          <w:sz w:val="21"/>
        </w:rPr>
        <w:t>项目编号：</w:t>
      </w:r>
    </w:p>
    <w:p>
      <w:pPr>
        <w:jc w:val="both"/>
      </w:pPr>
    </w:p>
    <w:p>
      <w:pPr>
        <w:jc w:val="both"/>
      </w:pPr>
      <w:r>
        <w:rPr>
          <w:sz w:val="21"/>
        </w:rPr>
        <w:t>签订日期：年月日</w:t>
      </w:r>
    </w:p>
    <w:p>
      <w:pPr>
        <w:jc w:val="both"/>
      </w:pPr>
    </w:p>
    <w:p>
      <w:pPr>
        <w:jc w:val="both"/>
      </w:pPr>
    </w:p>
    <w:p>
      <w:pPr>
        <w:jc w:val="both"/>
      </w:pPr>
    </w:p>
    <w:p>
      <w:pPr>
        <w:jc w:val="both"/>
      </w:pPr>
    </w:p>
    <w:p>
      <w:pPr>
        <w:jc w:val="both"/>
      </w:pPr>
      <w:r>
        <w:rPr>
          <w:sz w:val="21"/>
        </w:rPr>
        <w:t>甲方：广东省××监狱</w:t>
      </w:r>
    </w:p>
    <w:p>
      <w:pPr>
        <w:jc w:val="both"/>
      </w:pPr>
      <w:r>
        <w:rPr>
          <w:sz w:val="21"/>
        </w:rPr>
        <w:t>乙方：</w:t>
      </w:r>
    </w:p>
    <w:p>
      <w:pPr>
        <w:jc w:val="both"/>
      </w:pPr>
      <w:r>
        <w:rPr>
          <w:sz w:val="21"/>
        </w:rPr>
        <w:t>根据《中华人民共和国民法典》及××公司代理的广东省广州片区省属监狱</w:t>
      </w:r>
      <w:r>
        <w:rPr>
          <w:sz w:val="21"/>
        </w:rPr>
        <w:t>2023-2024</w:t>
      </w:r>
      <w:r>
        <w:rPr>
          <w:sz w:val="21"/>
        </w:rPr>
        <w:t>年度罪犯大宗生活物资（大米及食用油）采购项目招标文件的要求，甲、乙双方经协商确定，甲方向乙方订购下列货物及其服务，为明确双方责任和权利，签订本合同，共同遵守。具体条款如下：</w:t>
      </w:r>
    </w:p>
    <w:p>
      <w:pPr>
        <w:jc w:val="both"/>
      </w:pPr>
      <w:r>
        <w:rPr>
          <w:b/>
          <w:sz w:val="21"/>
        </w:rPr>
        <w:t>一、货物的品种、数量、价格、供应期限</w:t>
      </w:r>
    </w:p>
    <w:p>
      <w:pPr>
        <w:jc w:val="both"/>
      </w:pPr>
      <w:r>
        <w:rPr>
          <w:sz w:val="21"/>
        </w:rPr>
        <w:t>（一）货物品种、品牌、质量等级、规格及单价：</w:t>
      </w:r>
    </w:p>
    <w:tbl>
      <w:tblPr>
        <w:tblW w:w="0" w:type="auto"/>
        <w:tblBorders>
          <w:top w:val="single"/>
          <w:left w:val="single"/>
          <w:bottom w:val="single"/>
          <w:right w:val="single"/>
          <w:insideH w:val="single"/>
          <w:insideV w:val="single"/>
        </w:tblBorders>
      </w:tblPr>
      <w:tblGrid>
        <w:gridCol w:w="1058"/>
        <w:gridCol w:w="749"/>
        <w:gridCol w:w="1014"/>
        <w:gridCol w:w="1323"/>
        <w:gridCol w:w="2175"/>
        <w:gridCol w:w="1014"/>
        <w:gridCol w:w="970"/>
      </w:tblGrid>
      <w:tr>
        <w:tc>
          <w:tcPr>
            <w:tcW w:type="dxa" w:w="1058"/>
            <w:tcBorders>
              <w:top w:val="single" w:color="000000" w:sz="4"/>
              <w:left w:val="single" w:color="000000" w:sz="4"/>
              <w:bottom w:val="single" w:color="000000" w:sz="4"/>
              <w:right w:val="single" w:color="000000" w:sz="4"/>
            </w:tcBorders>
          </w:tcPr>
          <w:p>
            <w:pPr>
              <w:jc w:val="both"/>
            </w:pPr>
            <w:r>
              <w:rPr>
                <w:sz w:val="21"/>
              </w:rPr>
              <w:t>货物</w:t>
            </w:r>
          </w:p>
          <w:p>
            <w:pPr>
              <w:jc w:val="both"/>
            </w:pPr>
            <w:r>
              <w:rPr>
                <w:sz w:val="21"/>
              </w:rPr>
              <w:t>品种</w:t>
            </w:r>
          </w:p>
        </w:tc>
        <w:tc>
          <w:tcPr>
            <w:tcW w:type="dxa" w:w="749"/>
            <w:tcBorders>
              <w:top w:val="single" w:color="000000" w:sz="4"/>
              <w:left w:val="none" w:color="000000" w:sz="4"/>
              <w:bottom w:val="single" w:color="000000" w:sz="4"/>
              <w:right w:val="single" w:color="000000" w:sz="4"/>
            </w:tcBorders>
          </w:tcPr>
          <w:p>
            <w:pPr>
              <w:jc w:val="both"/>
            </w:pPr>
            <w:r>
              <w:rPr>
                <w:sz w:val="21"/>
              </w:rPr>
              <w:t>供货</w:t>
            </w:r>
          </w:p>
          <w:p>
            <w:pPr>
              <w:jc w:val="both"/>
            </w:pPr>
            <w:r>
              <w:rPr>
                <w:sz w:val="21"/>
              </w:rPr>
              <w:t>品牌</w:t>
            </w:r>
          </w:p>
        </w:tc>
        <w:tc>
          <w:tcPr>
            <w:tcW w:type="dxa" w:w="1014"/>
            <w:tcBorders>
              <w:top w:val="single" w:color="000000" w:sz="4"/>
              <w:left w:val="none" w:color="000000" w:sz="4"/>
              <w:bottom w:val="single" w:color="000000" w:sz="4"/>
              <w:right w:val="single" w:color="000000" w:sz="4"/>
            </w:tcBorders>
          </w:tcPr>
          <w:p>
            <w:pPr>
              <w:jc w:val="both"/>
            </w:pPr>
            <w:r>
              <w:rPr>
                <w:sz w:val="21"/>
              </w:rPr>
              <w:t>质量</w:t>
            </w:r>
          </w:p>
          <w:p>
            <w:pPr>
              <w:jc w:val="both"/>
            </w:pPr>
            <w:r>
              <w:rPr>
                <w:sz w:val="21"/>
              </w:rPr>
              <w:t>等级</w:t>
            </w:r>
          </w:p>
        </w:tc>
        <w:tc>
          <w:tcPr>
            <w:tcW w:type="dxa" w:w="1323"/>
            <w:tcBorders>
              <w:top w:val="single" w:color="000000" w:sz="4"/>
              <w:left w:val="none" w:color="000000" w:sz="4"/>
              <w:bottom w:val="single" w:color="000000" w:sz="4"/>
              <w:right w:val="single" w:color="000000" w:sz="4"/>
            </w:tcBorders>
          </w:tcPr>
          <w:p>
            <w:pPr>
              <w:jc w:val="both"/>
            </w:pPr>
            <w:r>
              <w:rPr>
                <w:sz w:val="21"/>
              </w:rPr>
              <w:t>规格</w:t>
            </w:r>
          </w:p>
        </w:tc>
        <w:tc>
          <w:tcPr>
            <w:tcW w:type="dxa" w:w="2175"/>
            <w:tcBorders>
              <w:top w:val="single" w:color="000000" w:sz="4"/>
              <w:left w:val="none" w:color="000000" w:sz="4"/>
              <w:bottom w:val="single" w:color="000000" w:sz="4"/>
              <w:right w:val="single" w:color="000000" w:sz="4"/>
            </w:tcBorders>
          </w:tcPr>
          <w:p>
            <w:pPr>
              <w:jc w:val="both"/>
            </w:pPr>
            <w:r>
              <w:rPr>
                <w:sz w:val="21"/>
              </w:rPr>
              <w:t>生产商</w:t>
            </w:r>
          </w:p>
        </w:tc>
        <w:tc>
          <w:tcPr>
            <w:tcW w:type="dxa" w:w="1014"/>
            <w:tcBorders>
              <w:top w:val="single" w:color="000000" w:sz="4"/>
              <w:left w:val="none" w:color="000000" w:sz="4"/>
              <w:bottom w:val="single" w:color="000000" w:sz="4"/>
              <w:right w:val="single" w:color="000000" w:sz="4"/>
            </w:tcBorders>
          </w:tcPr>
          <w:p>
            <w:pPr>
              <w:jc w:val="both"/>
            </w:pPr>
            <w:r>
              <w:rPr>
                <w:sz w:val="21"/>
              </w:rPr>
              <w:t>单位</w:t>
            </w:r>
          </w:p>
        </w:tc>
        <w:tc>
          <w:tcPr>
            <w:tcW w:type="dxa" w:w="970"/>
            <w:tcBorders>
              <w:top w:val="single" w:color="000000" w:sz="4"/>
              <w:left w:val="none" w:color="000000" w:sz="4"/>
              <w:bottom w:val="single" w:color="000000" w:sz="4"/>
              <w:right w:val="single" w:color="000000" w:sz="4"/>
            </w:tcBorders>
          </w:tcPr>
          <w:p>
            <w:pPr>
              <w:jc w:val="both"/>
            </w:pPr>
            <w:r>
              <w:rPr>
                <w:sz w:val="21"/>
              </w:rPr>
              <w:t>单价</w:t>
            </w:r>
          </w:p>
        </w:tc>
      </w:tr>
      <w:tr>
        <w:tc>
          <w:tcPr>
            <w:tcW w:type="dxa" w:w="1058"/>
            <w:tcBorders>
              <w:top w:val="none" w:color="000000" w:sz="4"/>
              <w:left w:val="single" w:color="000000" w:sz="4"/>
              <w:bottom w:val="single" w:color="000000" w:sz="4"/>
              <w:right w:val="single" w:color="000000" w:sz="4"/>
            </w:tcBorders>
          </w:tcPr>
          <w:p>
            <w:pPr>
              <w:jc w:val="both"/>
            </w:pPr>
            <w:r>
              <w:rPr>
                <w:sz w:val="21"/>
              </w:rPr>
              <w:t>大米</w:t>
            </w:r>
          </w:p>
        </w:tc>
        <w:tc>
          <w:tcPr>
            <w:tcW w:type="dxa" w:w="749"/>
            <w:tcBorders>
              <w:top w:val="none" w:color="000000" w:sz="4"/>
              <w:left w:val="none" w:color="000000" w:sz="4"/>
              <w:bottom w:val="single" w:color="000000" w:sz="4"/>
              <w:right w:val="single" w:color="000000" w:sz="4"/>
            </w:tcBorders>
          </w:tcPr>
          <w:p>
            <w:pPr>
              <w:jc w:val="both"/>
            </w:pPr>
          </w:p>
        </w:tc>
        <w:tc>
          <w:tcPr>
            <w:tcW w:type="dxa" w:w="1014"/>
            <w:tcBorders>
              <w:top w:val="none" w:color="000000" w:sz="4"/>
              <w:left w:val="none" w:color="000000" w:sz="4"/>
              <w:bottom w:val="single" w:color="000000" w:sz="4"/>
              <w:right w:val="single" w:color="000000" w:sz="4"/>
            </w:tcBorders>
          </w:tcPr>
          <w:p>
            <w:pPr>
              <w:jc w:val="both"/>
            </w:pPr>
            <w:r>
              <w:rPr>
                <w:sz w:val="21"/>
              </w:rPr>
              <w:t>二级籼米</w:t>
            </w:r>
          </w:p>
        </w:tc>
        <w:tc>
          <w:tcPr>
            <w:tcW w:type="dxa" w:w="1323"/>
            <w:tcBorders>
              <w:top w:val="none" w:color="000000" w:sz="4"/>
              <w:left w:val="none" w:color="000000" w:sz="4"/>
              <w:bottom w:val="single" w:color="000000" w:sz="4"/>
              <w:right w:val="single" w:color="000000" w:sz="4"/>
            </w:tcBorders>
          </w:tcPr>
          <w:p>
            <w:pPr>
              <w:jc w:val="both"/>
            </w:pPr>
            <w:r>
              <w:rPr>
                <w:sz w:val="21"/>
              </w:rPr>
              <w:t>50</w:t>
            </w:r>
            <w:r>
              <w:rPr>
                <w:sz w:val="21"/>
              </w:rPr>
              <w:t>公斤</w:t>
            </w:r>
            <w:r>
              <w:rPr>
                <w:sz w:val="21"/>
              </w:rPr>
              <w:t>/</w:t>
            </w:r>
            <w:r>
              <w:rPr>
                <w:sz w:val="21"/>
              </w:rPr>
              <w:t>包（或</w:t>
            </w:r>
            <w:r>
              <w:rPr>
                <w:sz w:val="21"/>
              </w:rPr>
              <w:t>25</w:t>
            </w:r>
            <w:r>
              <w:rPr>
                <w:sz w:val="21"/>
              </w:rPr>
              <w:t>公斤</w:t>
            </w:r>
            <w:r>
              <w:rPr>
                <w:sz w:val="21"/>
              </w:rPr>
              <w:t>/</w:t>
            </w:r>
            <w:r>
              <w:rPr>
                <w:sz w:val="21"/>
              </w:rPr>
              <w:t>包）</w:t>
            </w:r>
          </w:p>
        </w:tc>
        <w:tc>
          <w:tcPr>
            <w:tcW w:type="dxa" w:w="2175"/>
            <w:tcBorders>
              <w:top w:val="none" w:color="000000" w:sz="4"/>
              <w:left w:val="none" w:color="000000" w:sz="4"/>
              <w:bottom w:val="single" w:color="000000" w:sz="4"/>
              <w:right w:val="single" w:color="000000" w:sz="4"/>
            </w:tcBorders>
          </w:tcPr>
          <w:p>
            <w:pPr>
              <w:jc w:val="both"/>
            </w:pPr>
          </w:p>
        </w:tc>
        <w:tc>
          <w:tcPr>
            <w:tcW w:type="dxa" w:w="1014"/>
            <w:tcBorders>
              <w:top w:val="none" w:color="000000" w:sz="4"/>
              <w:left w:val="none" w:color="000000" w:sz="4"/>
              <w:bottom w:val="single" w:color="000000" w:sz="4"/>
              <w:right w:val="single" w:color="000000" w:sz="4"/>
            </w:tcBorders>
          </w:tcPr>
          <w:p>
            <w:pPr>
              <w:jc w:val="both"/>
            </w:pPr>
            <w:r>
              <w:rPr>
                <w:sz w:val="21"/>
              </w:rPr>
              <w:t>公斤</w:t>
            </w:r>
          </w:p>
        </w:tc>
        <w:tc>
          <w:tcPr>
            <w:tcW w:type="dxa" w:w="970"/>
            <w:tcBorders>
              <w:top w:val="none" w:color="000000" w:sz="4"/>
              <w:left w:val="none" w:color="000000" w:sz="4"/>
              <w:bottom w:val="single" w:color="000000" w:sz="4"/>
              <w:right w:val="single" w:color="000000" w:sz="4"/>
            </w:tcBorders>
          </w:tcPr>
          <w:p>
            <w:pPr>
              <w:jc w:val="both"/>
            </w:pPr>
          </w:p>
        </w:tc>
      </w:tr>
      <w:tr>
        <w:tc>
          <w:tcPr>
            <w:tcW w:type="dxa" w:w="1058"/>
            <w:tcBorders>
              <w:top w:val="none" w:color="000000" w:sz="4"/>
              <w:left w:val="single" w:color="000000" w:sz="4"/>
              <w:bottom w:val="single" w:color="000000" w:sz="4"/>
              <w:right w:val="single" w:color="000000" w:sz="4"/>
            </w:tcBorders>
          </w:tcPr>
          <w:p>
            <w:pPr>
              <w:jc w:val="both"/>
            </w:pPr>
            <w:r>
              <w:rPr>
                <w:sz w:val="21"/>
              </w:rPr>
              <w:t>花生油</w:t>
            </w:r>
          </w:p>
        </w:tc>
        <w:tc>
          <w:tcPr>
            <w:tcW w:type="dxa" w:w="749"/>
            <w:tcBorders>
              <w:top w:val="none" w:color="000000" w:sz="4"/>
              <w:left w:val="none" w:color="000000" w:sz="4"/>
              <w:bottom w:val="single" w:color="000000" w:sz="4"/>
              <w:right w:val="single" w:color="000000" w:sz="4"/>
            </w:tcBorders>
          </w:tcPr>
          <w:p>
            <w:pPr>
              <w:jc w:val="both"/>
            </w:pPr>
          </w:p>
        </w:tc>
        <w:tc>
          <w:tcPr>
            <w:tcW w:type="dxa" w:w="1014"/>
            <w:tcBorders>
              <w:top w:val="none" w:color="000000" w:sz="4"/>
              <w:left w:val="none" w:color="000000" w:sz="4"/>
              <w:bottom w:val="single" w:color="000000" w:sz="4"/>
              <w:right w:val="single" w:color="000000" w:sz="4"/>
            </w:tcBorders>
          </w:tcPr>
          <w:p>
            <w:pPr>
              <w:jc w:val="both"/>
            </w:pPr>
            <w:r>
              <w:rPr>
                <w:sz w:val="21"/>
              </w:rPr>
              <w:t>一级</w:t>
            </w:r>
          </w:p>
        </w:tc>
        <w:tc>
          <w:tcPr>
            <w:tcW w:type="dxa" w:w="1323"/>
            <w:tcBorders>
              <w:top w:val="none" w:color="000000" w:sz="4"/>
              <w:left w:val="none" w:color="000000" w:sz="4"/>
              <w:bottom w:val="single" w:color="000000" w:sz="4"/>
              <w:right w:val="single" w:color="000000" w:sz="4"/>
            </w:tcBorders>
          </w:tcPr>
          <w:p>
            <w:pPr>
              <w:jc w:val="both"/>
            </w:pPr>
            <w:r>
              <w:rPr>
                <w:sz w:val="21"/>
              </w:rPr>
              <w:t>20</w:t>
            </w:r>
            <w:r>
              <w:rPr>
                <w:sz w:val="21"/>
              </w:rPr>
              <w:t>升</w:t>
            </w:r>
            <w:r>
              <w:rPr>
                <w:sz w:val="21"/>
              </w:rPr>
              <w:t>/</w:t>
            </w:r>
            <w:r>
              <w:rPr>
                <w:sz w:val="21"/>
              </w:rPr>
              <w:t>桶</w:t>
            </w:r>
          </w:p>
        </w:tc>
        <w:tc>
          <w:tcPr>
            <w:tcW w:type="dxa" w:w="2175"/>
            <w:tcBorders>
              <w:top w:val="none" w:color="000000" w:sz="4"/>
              <w:left w:val="none" w:color="000000" w:sz="4"/>
              <w:bottom w:val="single" w:color="000000" w:sz="4"/>
              <w:right w:val="single" w:color="000000" w:sz="4"/>
            </w:tcBorders>
          </w:tcPr>
          <w:p>
            <w:pPr>
              <w:jc w:val="both"/>
            </w:pPr>
          </w:p>
        </w:tc>
        <w:tc>
          <w:tcPr>
            <w:tcW w:type="dxa" w:w="1014"/>
            <w:tcBorders>
              <w:top w:val="none" w:color="000000" w:sz="4"/>
              <w:left w:val="none" w:color="000000" w:sz="4"/>
              <w:bottom w:val="single" w:color="000000" w:sz="4"/>
              <w:right w:val="single" w:color="000000" w:sz="4"/>
            </w:tcBorders>
          </w:tcPr>
          <w:p>
            <w:pPr>
              <w:jc w:val="both"/>
            </w:pPr>
            <w:r>
              <w:rPr>
                <w:sz w:val="21"/>
              </w:rPr>
              <w:t>升</w:t>
            </w:r>
          </w:p>
        </w:tc>
        <w:tc>
          <w:tcPr>
            <w:tcW w:type="dxa" w:w="970"/>
            <w:tcBorders>
              <w:top w:val="none" w:color="000000" w:sz="4"/>
              <w:left w:val="none" w:color="000000" w:sz="4"/>
              <w:bottom w:val="single" w:color="000000" w:sz="4"/>
              <w:right w:val="single" w:color="000000" w:sz="4"/>
            </w:tcBorders>
          </w:tcPr>
          <w:p>
            <w:pPr>
              <w:jc w:val="both"/>
            </w:pPr>
          </w:p>
        </w:tc>
      </w:tr>
      <w:tr>
        <w:tc>
          <w:tcPr>
            <w:tcW w:type="dxa" w:w="1058"/>
            <w:tcBorders>
              <w:top w:val="none" w:color="000000" w:sz="4"/>
              <w:left w:val="single" w:color="000000" w:sz="4"/>
              <w:bottom w:val="single" w:color="000000" w:sz="4"/>
              <w:right w:val="single" w:color="000000" w:sz="4"/>
            </w:tcBorders>
          </w:tcPr>
          <w:p>
            <w:pPr>
              <w:jc w:val="both"/>
            </w:pPr>
            <w:r>
              <w:rPr>
                <w:sz w:val="21"/>
              </w:rPr>
              <w:t>大豆油</w:t>
            </w:r>
          </w:p>
        </w:tc>
        <w:tc>
          <w:tcPr>
            <w:tcW w:type="dxa" w:w="749"/>
            <w:tcBorders>
              <w:top w:val="none" w:color="000000" w:sz="4"/>
              <w:left w:val="none" w:color="000000" w:sz="4"/>
              <w:bottom w:val="single" w:color="000000" w:sz="4"/>
              <w:right w:val="single" w:color="000000" w:sz="4"/>
            </w:tcBorders>
          </w:tcPr>
          <w:p>
            <w:pPr>
              <w:jc w:val="both"/>
            </w:pPr>
          </w:p>
        </w:tc>
        <w:tc>
          <w:tcPr>
            <w:tcW w:type="dxa" w:w="1014"/>
            <w:tcBorders>
              <w:top w:val="none" w:color="000000" w:sz="4"/>
              <w:left w:val="none" w:color="000000" w:sz="4"/>
              <w:bottom w:val="single" w:color="000000" w:sz="4"/>
              <w:right w:val="single" w:color="000000" w:sz="4"/>
            </w:tcBorders>
          </w:tcPr>
          <w:p>
            <w:pPr>
              <w:jc w:val="both"/>
            </w:pPr>
            <w:r>
              <w:rPr>
                <w:sz w:val="21"/>
              </w:rPr>
              <w:t>一级</w:t>
            </w:r>
          </w:p>
        </w:tc>
        <w:tc>
          <w:tcPr>
            <w:tcW w:type="dxa" w:w="1323"/>
            <w:tcBorders>
              <w:top w:val="none" w:color="000000" w:sz="4"/>
              <w:left w:val="none" w:color="000000" w:sz="4"/>
              <w:bottom w:val="single" w:color="000000" w:sz="4"/>
              <w:right w:val="single" w:color="000000" w:sz="4"/>
            </w:tcBorders>
          </w:tcPr>
          <w:p>
            <w:pPr>
              <w:jc w:val="both"/>
            </w:pPr>
            <w:r>
              <w:rPr>
                <w:sz w:val="21"/>
              </w:rPr>
              <w:t>20</w:t>
            </w:r>
            <w:r>
              <w:rPr>
                <w:sz w:val="21"/>
              </w:rPr>
              <w:t>升</w:t>
            </w:r>
            <w:r>
              <w:rPr>
                <w:sz w:val="21"/>
              </w:rPr>
              <w:t>/</w:t>
            </w:r>
            <w:r>
              <w:rPr>
                <w:sz w:val="21"/>
              </w:rPr>
              <w:t>桶</w:t>
            </w:r>
          </w:p>
        </w:tc>
        <w:tc>
          <w:tcPr>
            <w:tcW w:type="dxa" w:w="2175"/>
            <w:tcBorders>
              <w:top w:val="none" w:color="000000" w:sz="4"/>
              <w:left w:val="none" w:color="000000" w:sz="4"/>
              <w:bottom w:val="single" w:color="000000" w:sz="4"/>
              <w:right w:val="single" w:color="000000" w:sz="4"/>
            </w:tcBorders>
          </w:tcPr>
          <w:p>
            <w:pPr>
              <w:jc w:val="both"/>
            </w:pPr>
          </w:p>
        </w:tc>
        <w:tc>
          <w:tcPr>
            <w:tcW w:type="dxa" w:w="1014"/>
            <w:tcBorders>
              <w:top w:val="none" w:color="000000" w:sz="4"/>
              <w:left w:val="none" w:color="000000" w:sz="4"/>
              <w:bottom w:val="single" w:color="000000" w:sz="4"/>
              <w:right w:val="single" w:color="000000" w:sz="4"/>
            </w:tcBorders>
          </w:tcPr>
          <w:p>
            <w:pPr>
              <w:jc w:val="both"/>
            </w:pPr>
            <w:r>
              <w:rPr>
                <w:sz w:val="21"/>
              </w:rPr>
              <w:t>升</w:t>
            </w:r>
          </w:p>
        </w:tc>
        <w:tc>
          <w:tcPr>
            <w:tcW w:type="dxa" w:w="970"/>
            <w:tcBorders>
              <w:top w:val="none" w:color="000000" w:sz="4"/>
              <w:left w:val="none" w:color="000000" w:sz="4"/>
              <w:bottom w:val="single" w:color="000000" w:sz="4"/>
              <w:right w:val="single" w:color="000000" w:sz="4"/>
            </w:tcBorders>
          </w:tcPr>
          <w:p>
            <w:pPr>
              <w:jc w:val="both"/>
            </w:pPr>
          </w:p>
        </w:tc>
      </w:tr>
      <w:tr>
        <w:tc>
          <w:tcPr>
            <w:tcW w:type="dxa" w:w="1058"/>
            <w:tcBorders>
              <w:top w:val="none" w:color="000000" w:sz="4"/>
              <w:left w:val="single" w:color="000000" w:sz="4"/>
              <w:bottom w:val="single" w:color="000000" w:sz="4"/>
              <w:right w:val="single" w:color="000000" w:sz="4"/>
            </w:tcBorders>
          </w:tcPr>
          <w:p>
            <w:pPr>
              <w:jc w:val="both"/>
            </w:pPr>
            <w:r>
              <w:rPr>
                <w:sz w:val="21"/>
              </w:rPr>
              <w:t>玉米油</w:t>
            </w:r>
          </w:p>
        </w:tc>
        <w:tc>
          <w:tcPr>
            <w:tcW w:type="dxa" w:w="749"/>
            <w:tcBorders>
              <w:top w:val="none" w:color="000000" w:sz="4"/>
              <w:left w:val="none" w:color="000000" w:sz="4"/>
              <w:bottom w:val="single" w:color="000000" w:sz="4"/>
              <w:right w:val="single" w:color="000000" w:sz="4"/>
            </w:tcBorders>
          </w:tcPr>
          <w:p>
            <w:pPr>
              <w:jc w:val="both"/>
            </w:pPr>
          </w:p>
        </w:tc>
        <w:tc>
          <w:tcPr>
            <w:tcW w:type="dxa" w:w="1014"/>
            <w:tcBorders>
              <w:top w:val="none" w:color="000000" w:sz="4"/>
              <w:left w:val="none" w:color="000000" w:sz="4"/>
              <w:bottom w:val="single" w:color="000000" w:sz="4"/>
              <w:right w:val="single" w:color="000000" w:sz="4"/>
            </w:tcBorders>
          </w:tcPr>
          <w:p>
            <w:pPr>
              <w:jc w:val="both"/>
            </w:pPr>
            <w:r>
              <w:rPr>
                <w:sz w:val="21"/>
              </w:rPr>
              <w:t>一级</w:t>
            </w:r>
          </w:p>
        </w:tc>
        <w:tc>
          <w:tcPr>
            <w:tcW w:type="dxa" w:w="1323"/>
            <w:tcBorders>
              <w:top w:val="none" w:color="000000" w:sz="4"/>
              <w:left w:val="none" w:color="000000" w:sz="4"/>
              <w:bottom w:val="single" w:color="000000" w:sz="4"/>
              <w:right w:val="single" w:color="000000" w:sz="4"/>
            </w:tcBorders>
          </w:tcPr>
          <w:p>
            <w:pPr>
              <w:jc w:val="both"/>
            </w:pPr>
            <w:r>
              <w:rPr>
                <w:sz w:val="21"/>
              </w:rPr>
              <w:t>20</w:t>
            </w:r>
            <w:r>
              <w:rPr>
                <w:sz w:val="21"/>
              </w:rPr>
              <w:t>升</w:t>
            </w:r>
            <w:r>
              <w:rPr>
                <w:sz w:val="21"/>
              </w:rPr>
              <w:t>/</w:t>
            </w:r>
            <w:r>
              <w:rPr>
                <w:sz w:val="21"/>
              </w:rPr>
              <w:t>桶</w:t>
            </w:r>
          </w:p>
        </w:tc>
        <w:tc>
          <w:tcPr>
            <w:tcW w:type="dxa" w:w="2175"/>
            <w:tcBorders>
              <w:top w:val="none" w:color="000000" w:sz="4"/>
              <w:left w:val="none" w:color="000000" w:sz="4"/>
              <w:bottom w:val="single" w:color="000000" w:sz="4"/>
              <w:right w:val="single" w:color="000000" w:sz="4"/>
            </w:tcBorders>
          </w:tcPr>
          <w:p>
            <w:pPr>
              <w:jc w:val="both"/>
            </w:pPr>
          </w:p>
        </w:tc>
        <w:tc>
          <w:tcPr>
            <w:tcW w:type="dxa" w:w="1014"/>
            <w:tcBorders>
              <w:top w:val="none" w:color="000000" w:sz="4"/>
              <w:left w:val="none" w:color="000000" w:sz="4"/>
              <w:bottom w:val="single" w:color="000000" w:sz="4"/>
              <w:right w:val="single" w:color="000000" w:sz="4"/>
            </w:tcBorders>
          </w:tcPr>
          <w:p>
            <w:pPr>
              <w:jc w:val="both"/>
            </w:pPr>
            <w:r>
              <w:rPr>
                <w:sz w:val="21"/>
              </w:rPr>
              <w:t>升</w:t>
            </w:r>
          </w:p>
        </w:tc>
        <w:tc>
          <w:tcPr>
            <w:tcW w:type="dxa" w:w="970"/>
            <w:tcBorders>
              <w:top w:val="none" w:color="000000" w:sz="4"/>
              <w:left w:val="none" w:color="000000" w:sz="4"/>
              <w:bottom w:val="single" w:color="000000" w:sz="4"/>
              <w:right w:val="single" w:color="000000" w:sz="4"/>
            </w:tcBorders>
          </w:tcPr>
          <w:p>
            <w:pPr>
              <w:jc w:val="both"/>
            </w:pPr>
          </w:p>
        </w:tc>
      </w:tr>
    </w:tbl>
    <w:p>
      <w:pPr>
        <w:jc w:val="both"/>
      </w:pPr>
      <w:r>
        <w:rPr>
          <w:sz w:val="21"/>
        </w:rPr>
        <w:t>（二）采购数量：以甲方当月采购计划为准。</w:t>
      </w:r>
    </w:p>
    <w:p>
      <w:pPr>
        <w:jc w:val="both"/>
      </w:pPr>
      <w:r>
        <w:rPr>
          <w:sz w:val="21"/>
        </w:rPr>
        <w:t>（三）采购金额：本项目××监狱采购预算金额为</w:t>
      </w:r>
      <w:r>
        <w:rPr>
          <w:sz w:val="21"/>
        </w:rPr>
        <w:t>**</w:t>
      </w:r>
      <w:r>
        <w:rPr>
          <w:sz w:val="21"/>
        </w:rPr>
        <w:t>万元。实际结算金额按合同单价和当月实际采购量为准，按下列公式计算：</w:t>
      </w:r>
    </w:p>
    <w:p>
      <w:pPr>
        <w:jc w:val="both"/>
      </w:pPr>
      <w:r>
        <w:rPr>
          <w:sz w:val="21"/>
        </w:rPr>
        <w:t>当月结算金额</w:t>
      </w:r>
      <w:r>
        <w:rPr>
          <w:sz w:val="21"/>
        </w:rPr>
        <w:t>=</w:t>
      </w:r>
      <w:r>
        <w:rPr>
          <w:sz w:val="21"/>
        </w:rPr>
        <w:t>当月实际采购量（单位）×大米及食用油的合同单价（元</w:t>
      </w:r>
      <w:r>
        <w:rPr>
          <w:sz w:val="21"/>
        </w:rPr>
        <w:t>/</w:t>
      </w:r>
      <w:r>
        <w:rPr>
          <w:sz w:val="21"/>
        </w:rPr>
        <w:t>单位）</w:t>
      </w:r>
    </w:p>
    <w:p>
      <w:pPr>
        <w:jc w:val="both"/>
      </w:pPr>
      <w:r>
        <w:rPr>
          <w:sz w:val="21"/>
        </w:rPr>
        <w:t>供应期限：</w:t>
      </w:r>
      <w:r>
        <w:rPr>
          <w:sz w:val="21"/>
        </w:rPr>
        <w:t>2023</w:t>
      </w:r>
      <w:r>
        <w:rPr>
          <w:sz w:val="21"/>
        </w:rPr>
        <w:t>年</w:t>
      </w:r>
      <w:r>
        <w:rPr>
          <w:sz w:val="21"/>
        </w:rPr>
        <w:t>12</w:t>
      </w:r>
      <w:r>
        <w:rPr>
          <w:sz w:val="21"/>
        </w:rPr>
        <w:t>月</w:t>
      </w:r>
      <w:r>
        <w:rPr>
          <w:sz w:val="21"/>
        </w:rPr>
        <w:t>1</w:t>
      </w:r>
      <w:r>
        <w:rPr>
          <w:sz w:val="21"/>
        </w:rPr>
        <w:t>日起至</w:t>
      </w:r>
      <w:r>
        <w:rPr>
          <w:sz w:val="21"/>
        </w:rPr>
        <w:t>2024</w:t>
      </w:r>
      <w:r>
        <w:rPr>
          <w:sz w:val="21"/>
        </w:rPr>
        <w:t>年</w:t>
      </w:r>
      <w:r>
        <w:rPr>
          <w:sz w:val="21"/>
        </w:rPr>
        <w:t>11</w:t>
      </w:r>
      <w:r>
        <w:rPr>
          <w:sz w:val="21"/>
        </w:rPr>
        <w:t>月</w:t>
      </w:r>
      <w:r>
        <w:rPr>
          <w:sz w:val="21"/>
        </w:rPr>
        <w:t>30</w:t>
      </w:r>
      <w:r>
        <w:rPr>
          <w:sz w:val="21"/>
        </w:rPr>
        <w:t>日（本合同具体终止时间以达到采购预算或截止日期两者先到为准）。</w:t>
      </w:r>
    </w:p>
    <w:p>
      <w:pPr>
        <w:jc w:val="both"/>
      </w:pPr>
      <w:r>
        <w:rPr>
          <w:b/>
          <w:sz w:val="21"/>
        </w:rPr>
        <w:t>二、质量及包装要求：</w:t>
      </w:r>
    </w:p>
    <w:p>
      <w:pPr>
        <w:jc w:val="both"/>
      </w:pPr>
      <w:r>
        <w:rPr>
          <w:sz w:val="21"/>
        </w:rPr>
        <w:t>（一）大米：</w:t>
      </w:r>
    </w:p>
    <w:p>
      <w:pPr>
        <w:jc w:val="both"/>
      </w:pPr>
      <w:r>
        <w:rPr>
          <w:sz w:val="21"/>
        </w:rPr>
        <w:t>1.</w:t>
      </w:r>
      <w:r>
        <w:rPr>
          <w:sz w:val="21"/>
        </w:rPr>
        <w:t>不低于二级籼米的要求，符合国家粮食卫生标准，剩余保质期不得少于原保质期的二分之一。</w:t>
      </w:r>
    </w:p>
    <w:p>
      <w:pPr>
        <w:jc w:val="both"/>
      </w:pPr>
      <w:r>
        <w:rPr>
          <w:sz w:val="21"/>
        </w:rPr>
        <w:t>2.</w:t>
      </w:r>
      <w:r>
        <w:rPr>
          <w:sz w:val="21"/>
        </w:rPr>
        <w:t>乙方投标时提供的大米样品</w:t>
      </w:r>
      <w:r>
        <w:rPr>
          <w:sz w:val="21"/>
        </w:rPr>
        <w:t>500g</w:t>
      </w:r>
      <w:r>
        <w:rPr>
          <w:sz w:val="21"/>
        </w:rPr>
        <w:t>作为验收对照使用，甲方每三个月从验收合格的大米中抽取</w:t>
      </w:r>
      <w:r>
        <w:rPr>
          <w:sz w:val="21"/>
        </w:rPr>
        <w:t>500g</w:t>
      </w:r>
      <w:r>
        <w:rPr>
          <w:sz w:val="21"/>
        </w:rPr>
        <w:t>替换旧样品，以免样品变质影响验收。</w:t>
      </w:r>
    </w:p>
    <w:p>
      <w:pPr>
        <w:jc w:val="both"/>
      </w:pPr>
      <w:r>
        <w:rPr>
          <w:sz w:val="21"/>
        </w:rPr>
        <w:t>3.50</w:t>
      </w:r>
      <w:r>
        <w:rPr>
          <w:sz w:val="21"/>
        </w:rPr>
        <w:t>公斤</w:t>
      </w:r>
      <w:r>
        <w:rPr>
          <w:sz w:val="21"/>
        </w:rPr>
        <w:t>/</w:t>
      </w:r>
      <w:r>
        <w:rPr>
          <w:sz w:val="21"/>
        </w:rPr>
        <w:t>包（或</w:t>
      </w:r>
      <w:r>
        <w:rPr>
          <w:sz w:val="21"/>
        </w:rPr>
        <w:t>25</w:t>
      </w:r>
      <w:r>
        <w:rPr>
          <w:sz w:val="21"/>
        </w:rPr>
        <w:t>公斤</w:t>
      </w:r>
      <w:r>
        <w:rPr>
          <w:sz w:val="21"/>
        </w:rPr>
        <w:t>/</w:t>
      </w:r>
      <w:r>
        <w:rPr>
          <w:sz w:val="21"/>
        </w:rPr>
        <w:t>包），包装符合粮食销售包装有关要求，包装材料清洁、卫生，符合国家食品卫生标准的规定。标签需标明产品名称、净含量、生产商名称和地址、生产日期、保质期、产品标准号、质量等级、生产许可证号、产品批号等。</w:t>
      </w:r>
    </w:p>
    <w:p>
      <w:pPr>
        <w:jc w:val="both"/>
      </w:pPr>
      <w:r>
        <w:rPr>
          <w:sz w:val="21"/>
        </w:rPr>
        <w:t>（二）食用油</w:t>
      </w:r>
    </w:p>
    <w:p>
      <w:pPr>
        <w:jc w:val="both"/>
      </w:pPr>
      <w:r>
        <w:rPr>
          <w:sz w:val="21"/>
        </w:rPr>
        <w:t>1.</w:t>
      </w:r>
      <w:r>
        <w:rPr>
          <w:sz w:val="21"/>
        </w:rPr>
        <w:t>不低于一级大豆油、一级花生油、一级玉米油的要求，不得掺有其它食用油或非食用油脂，不得添加任何香精、香料，剩余保质期不得少于原保质期的二分之一。</w:t>
      </w:r>
    </w:p>
    <w:p>
      <w:pPr>
        <w:jc w:val="both"/>
      </w:pPr>
      <w:r>
        <w:rPr>
          <w:sz w:val="21"/>
        </w:rPr>
        <w:t>2.20L/</w:t>
      </w:r>
      <w:r>
        <w:rPr>
          <w:sz w:val="21"/>
        </w:rPr>
        <w:t>桶，包装符合食用植物油销售包装有关要求，包装材料清洁、卫生，符合国家食品卫生标准的规定。标签需标明产品名称、净含量、生产商名称和地址、生产日期、保质期、产品标准号、质量等级、生产许可证号、产品批号等。</w:t>
      </w:r>
    </w:p>
    <w:p>
      <w:pPr>
        <w:jc w:val="both"/>
      </w:pPr>
      <w:r>
        <w:rPr>
          <w:b/>
          <w:sz w:val="21"/>
        </w:rPr>
        <w:t>三、保密</w:t>
      </w:r>
    </w:p>
    <w:p>
      <w:pPr>
        <w:jc w:val="both"/>
      </w:pPr>
      <w:r>
        <w:rPr>
          <w:sz w:val="21"/>
        </w:rPr>
        <w:t>未经对方事先书面同意，甲、乙双方不得将本合同及含投标文件在内的相关附件等有关资料提供给与本合同无关的任何第三方，不得将其用于履行本合同之外的其它用途，即使向与履行本合同有关的人员提供，也应注意保密并限于履行合同所必需的范围。</w:t>
      </w:r>
    </w:p>
    <w:p>
      <w:pPr>
        <w:jc w:val="both"/>
      </w:pPr>
      <w:r>
        <w:rPr>
          <w:b/>
          <w:sz w:val="21"/>
        </w:rPr>
        <w:t>四、合同签订及履约保证金</w:t>
      </w:r>
    </w:p>
    <w:p>
      <w:pPr>
        <w:jc w:val="both"/>
      </w:pPr>
      <w:r>
        <w:rPr>
          <w:sz w:val="21"/>
        </w:rPr>
        <w:t>（一）合同签订后十五日内，乙方须以银行转账方式向甲方支付合同履约保证金：（预算金额</w:t>
      </w:r>
      <w:r>
        <w:rPr>
          <w:sz w:val="21"/>
        </w:rPr>
        <w:t>10%</w:t>
      </w:r>
      <w:r>
        <w:rPr>
          <w:sz w:val="21"/>
        </w:rPr>
        <w:t>；如中标人为中小企业的，按预算金额</w:t>
      </w:r>
      <w:r>
        <w:rPr>
          <w:sz w:val="21"/>
        </w:rPr>
        <w:t>5%</w:t>
      </w:r>
      <w:r>
        <w:rPr>
          <w:sz w:val="21"/>
        </w:rPr>
        <w:t>）：</w:t>
      </w:r>
      <w:r>
        <w:rPr>
          <w:sz w:val="21"/>
        </w:rPr>
        <w:t>**</w:t>
      </w:r>
      <w:r>
        <w:rPr>
          <w:sz w:val="21"/>
        </w:rPr>
        <w:t>元</w:t>
      </w:r>
      <w:r>
        <w:rPr>
          <w:sz w:val="21"/>
        </w:rPr>
        <w:t>**</w:t>
      </w:r>
      <w:r>
        <w:rPr>
          <w:sz w:val="21"/>
        </w:rPr>
        <w:t>角</w:t>
      </w:r>
      <w:r>
        <w:rPr>
          <w:sz w:val="21"/>
        </w:rPr>
        <w:t>**</w:t>
      </w:r>
      <w:r>
        <w:rPr>
          <w:sz w:val="21"/>
        </w:rPr>
        <w:t>分（小写：</w:t>
      </w:r>
      <w:r>
        <w:rPr>
          <w:sz w:val="21"/>
        </w:rPr>
        <w:t>****</w:t>
      </w:r>
      <w:r>
        <w:rPr>
          <w:sz w:val="21"/>
        </w:rPr>
        <w:t>元）。在乙方完成其全部合同义务后三十日内，甲方一次性无息退还保证金。</w:t>
      </w:r>
    </w:p>
    <w:p>
      <w:pPr>
        <w:jc w:val="both"/>
      </w:pPr>
      <w:r>
        <w:rPr>
          <w:sz w:val="21"/>
        </w:rPr>
        <w:t>履约保证金以支票、汇票、本票或者金融机构、担保机构出具的保函等非现金形式提交。乙方以银行保函形式缴纳履约保证金的，需提交不可撤销、见索即付的独立保函（有效期需满足于整个供货期）。</w:t>
      </w:r>
    </w:p>
    <w:p>
      <w:pPr>
        <w:jc w:val="both"/>
      </w:pPr>
      <w:r>
        <w:rPr>
          <w:sz w:val="21"/>
        </w:rPr>
        <w:t>（二）如在合同执行期间因乙方违约导致履约保证金部分或全部扣除的，乙方需在七日内补齐履约保证金。</w:t>
      </w:r>
    </w:p>
    <w:p>
      <w:pPr>
        <w:jc w:val="both"/>
      </w:pPr>
      <w:r>
        <w:rPr>
          <w:sz w:val="21"/>
        </w:rPr>
        <w:t>（三）发生以下情形之一、经调查属实的，每次扣除</w:t>
      </w:r>
      <w:r>
        <w:rPr>
          <w:sz w:val="21"/>
        </w:rPr>
        <w:t>10%</w:t>
      </w:r>
      <w:r>
        <w:rPr>
          <w:sz w:val="21"/>
        </w:rPr>
        <w:t>履约保证金：</w:t>
      </w:r>
    </w:p>
    <w:p>
      <w:pPr>
        <w:jc w:val="both"/>
      </w:pPr>
      <w:r>
        <w:rPr>
          <w:sz w:val="21"/>
        </w:rPr>
        <w:t>1</w:t>
      </w:r>
      <w:r>
        <w:rPr>
          <w:sz w:val="21"/>
        </w:rPr>
        <w:t>．未按要求随货提供相关票证；</w:t>
      </w:r>
    </w:p>
    <w:p>
      <w:pPr>
        <w:jc w:val="both"/>
      </w:pPr>
      <w:r>
        <w:rPr>
          <w:sz w:val="21"/>
        </w:rPr>
        <w:t>2</w:t>
      </w:r>
      <w:r>
        <w:rPr>
          <w:sz w:val="21"/>
        </w:rPr>
        <w:t>．未经与甲方协商同意，当批次货物供应数量低于未管所该批次采购计划数量</w:t>
      </w:r>
      <w:r>
        <w:rPr>
          <w:sz w:val="21"/>
        </w:rPr>
        <w:t>50%</w:t>
      </w:r>
      <w:r>
        <w:rPr>
          <w:sz w:val="21"/>
        </w:rPr>
        <w:t>（不含本数）的；</w:t>
      </w:r>
    </w:p>
    <w:p>
      <w:pPr>
        <w:jc w:val="both"/>
      </w:pPr>
      <w:r>
        <w:rPr>
          <w:sz w:val="21"/>
        </w:rPr>
        <w:t>3</w:t>
      </w:r>
      <w:r>
        <w:rPr>
          <w:sz w:val="21"/>
        </w:rPr>
        <w:t>．未按甲方采购计划的时间供货（提前一天与甲方协商，且未影响罪犯伙食供应的除外）；</w:t>
      </w:r>
    </w:p>
    <w:p>
      <w:pPr>
        <w:jc w:val="both"/>
      </w:pPr>
      <w:r>
        <w:rPr>
          <w:sz w:val="21"/>
        </w:rPr>
        <w:t>4</w:t>
      </w:r>
      <w:r>
        <w:rPr>
          <w:sz w:val="21"/>
        </w:rPr>
        <w:t>．未按甲方指定地点、秩序卸货的；</w:t>
      </w:r>
    </w:p>
    <w:p>
      <w:pPr>
        <w:jc w:val="both"/>
      </w:pPr>
      <w:r>
        <w:rPr>
          <w:sz w:val="21"/>
        </w:rPr>
        <w:t>5</w:t>
      </w:r>
      <w:r>
        <w:rPr>
          <w:sz w:val="21"/>
        </w:rPr>
        <w:t>．货物出现质量问题，乙方不积极配合溯源及查找原因，不及时反馈处理结果的；</w:t>
      </w:r>
    </w:p>
    <w:p>
      <w:pPr>
        <w:jc w:val="both"/>
      </w:pPr>
      <w:r>
        <w:rPr>
          <w:sz w:val="21"/>
        </w:rPr>
        <w:t>6</w:t>
      </w:r>
      <w:r>
        <w:rPr>
          <w:sz w:val="21"/>
        </w:rPr>
        <w:t>．乙方经营场所、联系人、联系方式变更，未及时通知甲方业务部门，造成紧急情况下无法联系的。</w:t>
      </w:r>
    </w:p>
    <w:p>
      <w:pPr>
        <w:jc w:val="both"/>
      </w:pPr>
      <w:r>
        <w:rPr>
          <w:sz w:val="21"/>
        </w:rPr>
        <w:t>（四）发生以下情形之一、经调查属实的，每次扣除</w:t>
      </w:r>
      <w:r>
        <w:rPr>
          <w:sz w:val="21"/>
        </w:rPr>
        <w:t>20%</w:t>
      </w:r>
      <w:r>
        <w:rPr>
          <w:sz w:val="21"/>
        </w:rPr>
        <w:t>履约保证金：</w:t>
      </w:r>
    </w:p>
    <w:p>
      <w:pPr>
        <w:jc w:val="both"/>
      </w:pPr>
      <w:r>
        <w:rPr>
          <w:sz w:val="21"/>
        </w:rPr>
        <w:t>1</w:t>
      </w:r>
      <w:r>
        <w:rPr>
          <w:sz w:val="21"/>
        </w:rPr>
        <w:t>．供应货物品种、品牌、规格或质量等级与合同不符；</w:t>
      </w:r>
    </w:p>
    <w:p>
      <w:pPr>
        <w:jc w:val="both"/>
      </w:pPr>
      <w:r>
        <w:rPr>
          <w:sz w:val="21"/>
        </w:rPr>
        <w:t>2</w:t>
      </w:r>
      <w:r>
        <w:rPr>
          <w:sz w:val="21"/>
        </w:rPr>
        <w:t>．提供虚假或伪造的货物质量检验、检测报告的；</w:t>
      </w:r>
    </w:p>
    <w:p>
      <w:pPr>
        <w:jc w:val="both"/>
      </w:pPr>
      <w:r>
        <w:rPr>
          <w:sz w:val="21"/>
        </w:rPr>
        <w:t>3</w:t>
      </w:r>
      <w:r>
        <w:rPr>
          <w:sz w:val="21"/>
        </w:rPr>
        <w:t>．货物包装、运输、装卸等环节不符合食品安全要求的；</w:t>
      </w:r>
    </w:p>
    <w:p>
      <w:pPr>
        <w:jc w:val="both"/>
      </w:pPr>
      <w:r>
        <w:rPr>
          <w:sz w:val="21"/>
        </w:rPr>
        <w:t>4</w:t>
      </w:r>
      <w:r>
        <w:rPr>
          <w:sz w:val="21"/>
        </w:rPr>
        <w:t>．乙方工作人员不遵守甲方对外来人员相关管理规定，情节轻微尚未造成不良后果的。</w:t>
      </w:r>
    </w:p>
    <w:p>
      <w:pPr>
        <w:jc w:val="both"/>
      </w:pPr>
      <w:r>
        <w:rPr>
          <w:sz w:val="21"/>
        </w:rPr>
        <w:t>在合同期前两个月内发生上述（四）、（五）扣除履约保证金情形的，次数不超过三次（含三次），在未影响甲方伙食正常供应、未因所供货物发生食品安全事故，且乙方及时整改的前提下可免予扣除履约保证金；从第三个月起严格执行。</w:t>
      </w:r>
    </w:p>
    <w:p>
      <w:pPr>
        <w:jc w:val="both"/>
      </w:pPr>
      <w:r>
        <w:rPr>
          <w:sz w:val="21"/>
        </w:rPr>
        <w:t>（五）发生以下情形之一、经调查属实的，每次扣除</w:t>
      </w:r>
      <w:r>
        <w:rPr>
          <w:sz w:val="21"/>
        </w:rPr>
        <w:t>30%</w:t>
      </w:r>
      <w:r>
        <w:rPr>
          <w:sz w:val="21"/>
        </w:rPr>
        <w:t>履约保证金：</w:t>
      </w:r>
    </w:p>
    <w:p>
      <w:pPr>
        <w:jc w:val="both"/>
      </w:pPr>
      <w:r>
        <w:rPr>
          <w:sz w:val="21"/>
        </w:rPr>
        <w:t>1</w:t>
      </w:r>
      <w:r>
        <w:rPr>
          <w:sz w:val="21"/>
        </w:rPr>
        <w:t>．因退货或未按甲方采购计划数量供应，造成甲方无法按时供应罪犯伙食的；</w:t>
      </w:r>
    </w:p>
    <w:p>
      <w:pPr>
        <w:jc w:val="both"/>
      </w:pPr>
      <w:r>
        <w:rPr>
          <w:sz w:val="21"/>
        </w:rPr>
        <w:t>2</w:t>
      </w:r>
      <w:r>
        <w:rPr>
          <w:sz w:val="21"/>
        </w:rPr>
        <w:t>．乙方工作人员第一次为服刑人员传带物品的；</w:t>
      </w:r>
    </w:p>
    <w:p>
      <w:pPr>
        <w:jc w:val="both"/>
      </w:pPr>
      <w:r>
        <w:rPr>
          <w:sz w:val="21"/>
        </w:rPr>
        <w:t>3</w:t>
      </w:r>
      <w:r>
        <w:rPr>
          <w:sz w:val="21"/>
        </w:rPr>
        <w:t>．乙方工作人员对货物检查把关不严，造成违禁品、违规品及危险品流入狱内的；</w:t>
      </w:r>
    </w:p>
    <w:p>
      <w:pPr>
        <w:jc w:val="both"/>
      </w:pPr>
      <w:r>
        <w:rPr>
          <w:sz w:val="21"/>
        </w:rPr>
        <w:t>4</w:t>
      </w:r>
      <w:r>
        <w:rPr>
          <w:sz w:val="21"/>
        </w:rPr>
        <w:t>．乙方无正当理由，未按甲方要求在指定时间内配送相关物资的；</w:t>
      </w:r>
    </w:p>
    <w:p>
      <w:pPr>
        <w:jc w:val="both"/>
      </w:pPr>
      <w:r>
        <w:rPr>
          <w:sz w:val="21"/>
        </w:rPr>
        <w:t>5</w:t>
      </w:r>
      <w:r>
        <w:rPr>
          <w:sz w:val="21"/>
        </w:rPr>
        <w:t>．乙方未经书面申请甲方同意，擅自调整、更换项目相关服务人员的。</w:t>
      </w:r>
    </w:p>
    <w:p>
      <w:pPr>
        <w:jc w:val="both"/>
      </w:pPr>
      <w:r>
        <w:rPr>
          <w:sz w:val="21"/>
        </w:rPr>
        <w:t>（六）发生以下情形之一、经调查属实的，每次扣除</w:t>
      </w:r>
      <w:r>
        <w:rPr>
          <w:sz w:val="21"/>
        </w:rPr>
        <w:t>50%</w:t>
      </w:r>
      <w:r>
        <w:rPr>
          <w:sz w:val="21"/>
        </w:rPr>
        <w:t>履约保证金：</w:t>
      </w:r>
    </w:p>
    <w:p>
      <w:pPr>
        <w:jc w:val="both"/>
      </w:pPr>
      <w:r>
        <w:rPr>
          <w:sz w:val="21"/>
        </w:rPr>
        <w:t>1</w:t>
      </w:r>
      <w:r>
        <w:rPr>
          <w:sz w:val="21"/>
        </w:rPr>
        <w:t>．乙方工作人员第二次为服刑人员传带物品的；</w:t>
      </w:r>
    </w:p>
    <w:p>
      <w:pPr>
        <w:jc w:val="both"/>
      </w:pPr>
      <w:r>
        <w:rPr>
          <w:sz w:val="21"/>
        </w:rPr>
        <w:t>2</w:t>
      </w:r>
      <w:r>
        <w:rPr>
          <w:sz w:val="21"/>
        </w:rPr>
        <w:t>．乙方工作人员第二次出现对货物检查把关不严，造成违禁品、违规品或危险品流入狱内的。</w:t>
      </w:r>
    </w:p>
    <w:p>
      <w:pPr>
        <w:jc w:val="both"/>
      </w:pPr>
      <w:r>
        <w:rPr>
          <w:sz w:val="21"/>
        </w:rPr>
        <w:t>3</w:t>
      </w:r>
      <w:r>
        <w:rPr>
          <w:sz w:val="21"/>
        </w:rPr>
        <w:t>．乙方无正当理由，第二次未按甲方要求在指定时间内配送相关物资的；</w:t>
      </w:r>
    </w:p>
    <w:p>
      <w:pPr>
        <w:jc w:val="both"/>
      </w:pPr>
      <w:r>
        <w:rPr>
          <w:sz w:val="21"/>
        </w:rPr>
        <w:t>4</w:t>
      </w:r>
      <w:r>
        <w:rPr>
          <w:sz w:val="21"/>
        </w:rPr>
        <w:t>．因乙方长时间（超过</w:t>
      </w:r>
      <w:r>
        <w:rPr>
          <w:sz w:val="21"/>
        </w:rPr>
        <w:t>24</w:t>
      </w:r>
      <w:r>
        <w:rPr>
          <w:sz w:val="21"/>
        </w:rPr>
        <w:t>小时）无法联系的原因，导致甲方物资供应出现中断或短缺的。</w:t>
      </w:r>
    </w:p>
    <w:p>
      <w:pPr>
        <w:jc w:val="both"/>
      </w:pPr>
      <w:r>
        <w:rPr>
          <w:sz w:val="21"/>
        </w:rPr>
        <w:t>（七）发生以下情形之一、经调查属实的，扣除全部履约保证金，并视情况有权单方面解除合同：</w:t>
      </w:r>
    </w:p>
    <w:p>
      <w:pPr>
        <w:jc w:val="both"/>
      </w:pPr>
      <w:r>
        <w:rPr>
          <w:sz w:val="21"/>
        </w:rPr>
        <w:t>1</w:t>
      </w:r>
      <w:r>
        <w:rPr>
          <w:sz w:val="21"/>
        </w:rPr>
        <w:t>．乙方工作人员为服刑人员传带违禁品、违规品或危险品，或是第三次传带物品的；</w:t>
      </w:r>
    </w:p>
    <w:p>
      <w:pPr>
        <w:jc w:val="both"/>
      </w:pPr>
      <w:r>
        <w:rPr>
          <w:sz w:val="21"/>
        </w:rPr>
        <w:t>2</w:t>
      </w:r>
      <w:r>
        <w:rPr>
          <w:sz w:val="21"/>
        </w:rPr>
        <w:t>．乙方工作人员第三次出现对货物检查把关不严，造成违禁品、违规品及危险品流入狱内的；</w:t>
      </w:r>
    </w:p>
    <w:p>
      <w:pPr>
        <w:jc w:val="both"/>
      </w:pPr>
      <w:r>
        <w:rPr>
          <w:sz w:val="21"/>
        </w:rPr>
        <w:t>3</w:t>
      </w:r>
      <w:r>
        <w:rPr>
          <w:sz w:val="21"/>
        </w:rPr>
        <w:t>．因所供货物质量原因导致狱内发生食品安全事故的；</w:t>
      </w:r>
    </w:p>
    <w:p>
      <w:pPr>
        <w:jc w:val="both"/>
      </w:pPr>
      <w:r>
        <w:rPr>
          <w:sz w:val="21"/>
        </w:rPr>
        <w:t>4</w:t>
      </w:r>
      <w:r>
        <w:rPr>
          <w:sz w:val="21"/>
        </w:rPr>
        <w:t>．因乙方工作人员原因导致狱内发生监管安全事故的；</w:t>
      </w:r>
    </w:p>
    <w:p>
      <w:pPr>
        <w:jc w:val="both"/>
      </w:pPr>
      <w:r>
        <w:rPr>
          <w:sz w:val="21"/>
        </w:rPr>
        <w:t>5</w:t>
      </w:r>
      <w:r>
        <w:rPr>
          <w:sz w:val="21"/>
        </w:rPr>
        <w:t>．除不可抗力外，乙方无故不能完成甲方疫情防控及应急保障相关要求，导致甲方出现重大安全风险的。</w:t>
      </w:r>
    </w:p>
    <w:p>
      <w:pPr>
        <w:jc w:val="both"/>
      </w:pPr>
      <w:r>
        <w:rPr>
          <w:sz w:val="21"/>
        </w:rPr>
        <w:t>若同时出现上述履约保证金扣除情形的，按扣除数额最大的情形执行，不对同时出现的情形累计扣除。</w:t>
      </w:r>
    </w:p>
    <w:p>
      <w:pPr>
        <w:jc w:val="both"/>
      </w:pPr>
      <w:r>
        <w:rPr>
          <w:sz w:val="21"/>
        </w:rPr>
        <w:t>（八）如乙方在合同执行过程中需终止合同履行的，应提前九十日以书面形式告知甲方，并继续供应九十日后方可终止。履行合同未满六个月就提出终止合同的，扣除</w:t>
      </w:r>
      <w:r>
        <w:rPr>
          <w:sz w:val="21"/>
        </w:rPr>
        <w:t>60%</w:t>
      </w:r>
      <w:r>
        <w:rPr>
          <w:sz w:val="21"/>
        </w:rPr>
        <w:t>履约保证金；履行合同六个月以上不足九个月提出终止合同的，扣除</w:t>
      </w:r>
      <w:r>
        <w:rPr>
          <w:sz w:val="21"/>
        </w:rPr>
        <w:t>40%</w:t>
      </w:r>
      <w:r>
        <w:rPr>
          <w:sz w:val="21"/>
        </w:rPr>
        <w:t>履约保证金；履行合同九个月以上提出终止合同的，扣除</w:t>
      </w:r>
      <w:r>
        <w:rPr>
          <w:sz w:val="21"/>
        </w:rPr>
        <w:t>20%</w:t>
      </w:r>
      <w:r>
        <w:rPr>
          <w:sz w:val="21"/>
        </w:rPr>
        <w:t>履约保证金。</w:t>
      </w:r>
    </w:p>
    <w:p>
      <w:pPr>
        <w:jc w:val="both"/>
      </w:pPr>
      <w:r>
        <w:rPr>
          <w:sz w:val="21"/>
        </w:rPr>
        <w:t>如乙方没有书面提前告知终止合同或提出终止合同后未继续供应九十日的（剩余合同期小于九十日的，供应到合同结束时间为止），按单方面违约处理，除扣除全部履约保证金外，还须承担甲方的其他经济损失（以双方正式终止合同之日为计算扣除履约保证金的时间节点）。</w:t>
      </w:r>
    </w:p>
    <w:p>
      <w:pPr>
        <w:jc w:val="both"/>
      </w:pPr>
      <w:r>
        <w:rPr>
          <w:sz w:val="21"/>
        </w:rPr>
        <w:t>（九）如甲方在合同执行过程中需终止合同履行的，应提前六十日以书面形式告知乙方，并在合同正式终止后三十日内退还全部履约保证金。</w:t>
      </w:r>
    </w:p>
    <w:p>
      <w:pPr>
        <w:jc w:val="both"/>
      </w:pPr>
      <w:r>
        <w:rPr>
          <w:b/>
          <w:sz w:val="21"/>
        </w:rPr>
        <w:t>五、配送</w:t>
      </w:r>
    </w:p>
    <w:p>
      <w:pPr>
        <w:jc w:val="both"/>
      </w:pPr>
      <w:r>
        <w:rPr>
          <w:sz w:val="21"/>
        </w:rPr>
        <w:t>（一）交货地点：甲方指定地点。其中女子监狱、未成年犯管教所（白云监狱）、监狱中心医院，由乙方工作人员负责卸货及入库堆放。</w:t>
      </w:r>
    </w:p>
    <w:p>
      <w:pPr>
        <w:jc w:val="both"/>
      </w:pPr>
      <w:r>
        <w:rPr>
          <w:sz w:val="21"/>
        </w:rPr>
        <w:t>（二）首次供应时，乙方应提供《营业执照》、《食品经营许可证》或《食品生产许可证》等证照复印件予甲方存档。每次供应时应向甲方提供盖有公章的货物清单。</w:t>
      </w:r>
    </w:p>
    <w:p>
      <w:pPr>
        <w:jc w:val="both"/>
      </w:pPr>
      <w:r>
        <w:rPr>
          <w:sz w:val="21"/>
        </w:rPr>
        <w:t>（三）货物运输整个过程应科学合理，必须采用符合卫生要求的外包装和运载工具，确保货物不被挤压变形导致质量受到影响，并且要保持清洁和定期清洗消毒，车厢内无不良气味、异味。</w:t>
      </w:r>
    </w:p>
    <w:p>
      <w:pPr>
        <w:jc w:val="both"/>
      </w:pPr>
      <w:r>
        <w:rPr>
          <w:sz w:val="21"/>
        </w:rPr>
        <w:t>（四）用于包装货物的容器（框、箱、袋）需清洁、干燥、牢固，无异味、无霉变现象，食品包装符合国家有关法规、行业标准的要求，包装完好无破损。</w:t>
      </w:r>
    </w:p>
    <w:p>
      <w:pPr>
        <w:jc w:val="both"/>
      </w:pPr>
      <w:r>
        <w:rPr>
          <w:sz w:val="21"/>
        </w:rPr>
        <w:t>（五）送货时间：甲方根据采购计划和实际需求，提前五日以书面形式将需求通知乙方。</w:t>
      </w:r>
    </w:p>
    <w:p>
      <w:pPr>
        <w:jc w:val="both"/>
      </w:pPr>
      <w:r>
        <w:rPr>
          <w:sz w:val="21"/>
        </w:rPr>
        <w:t>乙方在接到通知后备齐货物，按时送抵交货地点。除不可抗力外，乙方不得以其他任何理由延迟送货。甲方如遇特殊情况需推迟送货，应至少提前一日通知乙方。乙方不能按时、按质、按量供货，导致甲方无法正常供应伙食的，甲方有权自行采购同等质量的货物，由此造成的采购费用差额等经济损失由乙方负责，并承担相应的违约责任。</w:t>
      </w:r>
    </w:p>
    <w:p>
      <w:r>
        <w:rPr>
          <w:sz w:val="21"/>
        </w:rPr>
        <w:t>（六）甲方</w:t>
      </w:r>
      <w:r>
        <w:rPr>
          <w:color w:val="000000"/>
          <w:sz w:val="21"/>
        </w:rPr>
        <w:t>执行预防传染病、流行病传播等任务需要特殊管理的情况下，需对配送货物、车辆、人员进行检查检测、消毒消杀、静置等候等管理措施的，乙方应予以配合，由此产生的相关费用由乙方负责。</w:t>
      </w:r>
    </w:p>
    <w:p>
      <w:pPr>
        <w:jc w:val="both"/>
      </w:pPr>
      <w:r>
        <w:rPr>
          <w:b/>
          <w:sz w:val="21"/>
        </w:rPr>
        <w:t>六、物资验收</w:t>
      </w:r>
    </w:p>
    <w:p>
      <w:pPr>
        <w:jc w:val="both"/>
      </w:pPr>
      <w:r>
        <w:rPr>
          <w:sz w:val="21"/>
        </w:rPr>
        <w:t>（一）按《广东省监狱罪犯生活物资验收管理办法》有关规定进行验收。</w:t>
      </w:r>
    </w:p>
    <w:p>
      <w:pPr>
        <w:jc w:val="both"/>
      </w:pPr>
      <w:r>
        <w:rPr>
          <w:sz w:val="21"/>
        </w:rPr>
        <w:t>（二）双方对质量有争议，需将货物送至具备资质的质量检测机构检测的，若检测结果合格，检测费用由甲方支付；若检测结果不合格，则检测费用由乙方支付，甲方将该批次货物退货，乙方需重新配送合格物资。</w:t>
      </w:r>
    </w:p>
    <w:p>
      <w:pPr>
        <w:jc w:val="both"/>
      </w:pPr>
      <w:r>
        <w:rPr>
          <w:sz w:val="21"/>
        </w:rPr>
        <w:t>（三）合同期内，省局随机对货物质量进行一到两次抽查（因食品安全事故调查、接到投诉调查而送检的，不受此次数限制），检验费用由乙方支付。合同期内两次抽查发现不合格的（可为相同或不同货物），责成监狱扣除全部履约保证金并立即解除合同。</w:t>
      </w:r>
    </w:p>
    <w:p>
      <w:pPr>
        <w:jc w:val="both"/>
      </w:pPr>
      <w:r>
        <w:rPr>
          <w:sz w:val="21"/>
        </w:rPr>
        <w:t>（四）甲方在物资验收时未发现质量问题，而入库后七日内发现质量问题的，且乙方无法证明该质量问题是由于甲方保管、使用不善而导致的，应无条件更换该批次货物。</w:t>
      </w:r>
    </w:p>
    <w:p>
      <w:pPr>
        <w:jc w:val="both"/>
      </w:pPr>
      <w:r>
        <w:rPr>
          <w:sz w:val="21"/>
        </w:rPr>
        <w:t>（五）联合招标单位每季度选取其中1个监狱单位，将乙方所供应的物资抽样并送至具备资质的质量检测机构进行检测。检测结果合格的，检测费用由送检单位承担，检测结果不合格的，检测费用由乙方承担，同时监狱按照相关违约责任规定作出扣除相应比例履约保证金等处理。</w:t>
      </w:r>
    </w:p>
    <w:p>
      <w:pPr>
        <w:jc w:val="both"/>
      </w:pPr>
    </w:p>
    <w:p>
      <w:pPr>
        <w:jc w:val="both"/>
      </w:pPr>
      <w:r>
        <w:rPr>
          <w:b/>
          <w:sz w:val="21"/>
        </w:rPr>
        <w:t>七、应急保障</w:t>
      </w:r>
    </w:p>
    <w:p>
      <w:pPr>
        <w:jc w:val="both"/>
      </w:pPr>
      <w:r>
        <w:rPr>
          <w:sz w:val="21"/>
        </w:rPr>
        <w:t>（一）乙方要有自己的货物来源保障能力，即自有或租赁的种植、养殖基地，自有或租赁的配送中心、仓库、冷冻库、冷藏库，自有或租赁的生产线或生产车间等，相关面积及运输距离须满足本项目的实际需要。</w:t>
      </w:r>
    </w:p>
    <w:p>
      <w:pPr>
        <w:jc w:val="both"/>
      </w:pPr>
      <w:r>
        <w:rPr>
          <w:sz w:val="21"/>
        </w:rPr>
        <w:t>（二）乙方应制定详细、科学、合理，可行性和针对性强的特殊情况应急保障方案，承诺在合同期内（包括国家法定节假日及休息日）保持</w:t>
      </w:r>
      <w:r>
        <w:rPr>
          <w:sz w:val="21"/>
        </w:rPr>
        <w:t>24</w:t>
      </w:r>
      <w:r>
        <w:rPr>
          <w:sz w:val="21"/>
        </w:rPr>
        <w:t>小时沟通联系，在收到甲方需配送物资的通知后，及时按要求完成配送。</w:t>
      </w:r>
    </w:p>
    <w:p>
      <w:pPr>
        <w:jc w:val="both"/>
      </w:pPr>
      <w:r>
        <w:rPr>
          <w:sz w:val="21"/>
        </w:rPr>
        <w:t>（三）乙方需具备足够的运输车、冷链车及相关设备、配送人员，确保满足本项目的服务需求。乙方不得随意变更监狱采购计划，否则甲方有权拒收。确因市场流通问题需变更的，须向甲方书面提出申请，甲方同意后方可变更。</w:t>
      </w:r>
    </w:p>
    <w:p>
      <w:pPr>
        <w:jc w:val="both"/>
      </w:pPr>
      <w:r>
        <w:rPr>
          <w:sz w:val="21"/>
        </w:rPr>
        <w:t>（四）除不可抗力外，因乙方不能完成合同约定的应急保障内容，导致甲方出现供应中断等重大安全风险的，甲方有权采取扣除履约保证金、单方面解除合同等措施，并要求乙方承担所造成的一切经济损失。</w:t>
      </w:r>
    </w:p>
    <w:p>
      <w:pPr>
        <w:jc w:val="both"/>
      </w:pPr>
    </w:p>
    <w:p>
      <w:pPr>
        <w:jc w:val="both"/>
      </w:pPr>
      <w:r>
        <w:rPr>
          <w:b/>
          <w:sz w:val="21"/>
        </w:rPr>
        <w:t>八、运输方式及费用负担</w:t>
      </w:r>
    </w:p>
    <w:p>
      <w:pPr>
        <w:jc w:val="both"/>
      </w:pPr>
      <w:r>
        <w:rPr>
          <w:sz w:val="21"/>
        </w:rPr>
        <w:t>货物供应由乙方自有或租用的车辆负责运输，产生的运输费、搬运费、包装费、税金等一切费用由乙方负担。</w:t>
      </w:r>
    </w:p>
    <w:p>
      <w:pPr>
        <w:jc w:val="both"/>
      </w:pPr>
      <w:r>
        <w:rPr>
          <w:b/>
          <w:sz w:val="21"/>
        </w:rPr>
        <w:t>九、结算方式</w:t>
      </w:r>
    </w:p>
    <w:p>
      <w:pPr>
        <w:jc w:val="both"/>
      </w:pPr>
      <w:r>
        <w:rPr>
          <w:sz w:val="21"/>
        </w:rPr>
        <w:t>（</w:t>
      </w:r>
      <w:r>
        <w:rPr>
          <w:sz w:val="21"/>
        </w:rPr>
        <w:t>1</w:t>
      </w:r>
      <w:r>
        <w:rPr>
          <w:sz w:val="21"/>
        </w:rPr>
        <w:t>）根据《广东省政府采购促进中小企业发展实施细则》第二十九条规定：甲方需向乙方支付预算金额</w:t>
      </w:r>
      <w:r>
        <w:rPr>
          <w:sz w:val="21"/>
        </w:rPr>
        <w:t>30%</w:t>
      </w:r>
      <w:r>
        <w:rPr>
          <w:sz w:val="21"/>
        </w:rPr>
        <w:t>的预付款。由于本项目的采购预算使用财政资金而且是</w:t>
      </w:r>
      <w:r>
        <w:rPr>
          <w:sz w:val="21"/>
        </w:rPr>
        <w:t>2024</w:t>
      </w:r>
      <w:r>
        <w:rPr>
          <w:sz w:val="21"/>
        </w:rPr>
        <w:t>年的财政预算，财政资金的具体拨付时间不确定，待资金到位后通知乙方，乙方接到通知后，持预付款保函和预付款发票到甲方单位办理支付手续。</w:t>
      </w:r>
    </w:p>
    <w:p>
      <w:pPr>
        <w:jc w:val="both"/>
      </w:pPr>
      <w:r>
        <w:rPr>
          <w:sz w:val="21"/>
        </w:rPr>
        <w:t>（</w:t>
      </w:r>
      <w:r>
        <w:rPr>
          <w:sz w:val="21"/>
        </w:rPr>
        <w:t>2</w:t>
      </w:r>
      <w:r>
        <w:rPr>
          <w:sz w:val="21"/>
        </w:rPr>
        <w:t>）预付款保函以支票、汇票、本票或者金融机构、担保机构出具的保函等非现金形式提交。需提交不可撤销、见索即付的独立保函，保函有效期限直至预付款金额用完为止，保函有效期满后，乙方提出书面申请，甲方</w:t>
      </w:r>
      <w:r>
        <w:rPr>
          <w:sz w:val="21"/>
        </w:rPr>
        <w:t>5</w:t>
      </w:r>
      <w:r>
        <w:rPr>
          <w:sz w:val="21"/>
        </w:rPr>
        <w:t>个工作日内无息退还保函原件。</w:t>
      </w:r>
    </w:p>
    <w:p>
      <w:pPr>
        <w:jc w:val="both"/>
      </w:pPr>
      <w:r>
        <w:rPr>
          <w:sz w:val="21"/>
        </w:rPr>
        <w:t>（</w:t>
      </w:r>
      <w:r>
        <w:rPr>
          <w:sz w:val="21"/>
        </w:rPr>
        <w:t>3</w:t>
      </w:r>
      <w:r>
        <w:rPr>
          <w:sz w:val="21"/>
        </w:rPr>
        <w:t>）乙方完成当月供货计划后，于次月</w:t>
      </w:r>
      <w:r>
        <w:rPr>
          <w:sz w:val="21"/>
        </w:rPr>
        <w:t>10</w:t>
      </w:r>
      <w:r>
        <w:rPr>
          <w:sz w:val="21"/>
        </w:rPr>
        <w:t>日前凭国家正式发票及甲方确认的供货单向甲方申请付款，甲方在收到申请等额有效发票后的</w:t>
      </w:r>
      <w:r>
        <w:rPr>
          <w:sz w:val="21"/>
        </w:rPr>
        <w:t>15</w:t>
      </w:r>
      <w:r>
        <w:rPr>
          <w:sz w:val="21"/>
        </w:rPr>
        <w:t>天内结清当月所有货款。每月结算一次，先抵扣预付款，预付款抵扣完毕后，当月不足抵扣的据实结算。</w:t>
      </w:r>
    </w:p>
    <w:p>
      <w:pPr>
        <w:jc w:val="both"/>
      </w:pPr>
      <w:r>
        <w:rPr>
          <w:b/>
          <w:sz w:val="21"/>
        </w:rPr>
        <w:t>十、权利义务</w:t>
      </w:r>
    </w:p>
    <w:p>
      <w:pPr>
        <w:jc w:val="both"/>
      </w:pPr>
      <w:r>
        <w:rPr>
          <w:sz w:val="21"/>
        </w:rPr>
        <w:t>（一）乙方有以下行为之一并经调查属实的，甲方有权立即解除合同，并扣除全部履约保证金：</w:t>
      </w:r>
    </w:p>
    <w:p>
      <w:pPr>
        <w:jc w:val="both"/>
      </w:pPr>
      <w:r>
        <w:rPr>
          <w:sz w:val="21"/>
        </w:rPr>
        <w:t>1</w:t>
      </w:r>
      <w:r>
        <w:rPr>
          <w:sz w:val="21"/>
        </w:rPr>
        <w:t>．弄虚作假，提供虚假材料取得中标供应资格的；</w:t>
      </w:r>
    </w:p>
    <w:p>
      <w:pPr>
        <w:jc w:val="both"/>
      </w:pPr>
      <w:r>
        <w:rPr>
          <w:sz w:val="21"/>
        </w:rPr>
        <w:t>2</w:t>
      </w:r>
      <w:r>
        <w:rPr>
          <w:sz w:val="21"/>
        </w:rPr>
        <w:t>．中标供应项目有违规转包、分包行为的；</w:t>
      </w:r>
    </w:p>
    <w:p>
      <w:pPr>
        <w:jc w:val="both"/>
      </w:pPr>
      <w:r>
        <w:rPr>
          <w:sz w:val="21"/>
        </w:rPr>
        <w:t>3</w:t>
      </w:r>
      <w:r>
        <w:rPr>
          <w:sz w:val="21"/>
        </w:rPr>
        <w:t>．经营情况发生重大变更，已不具备承接中标项目能力的；</w:t>
      </w:r>
    </w:p>
    <w:p>
      <w:pPr>
        <w:jc w:val="both"/>
      </w:pPr>
      <w:r>
        <w:rPr>
          <w:sz w:val="21"/>
        </w:rPr>
        <w:t>4</w:t>
      </w:r>
      <w:r>
        <w:rPr>
          <w:sz w:val="21"/>
        </w:rPr>
        <w:t>．无正当理由拒绝履行合同约定的；</w:t>
      </w:r>
      <w:r>
        <w:br/>
      </w:r>
      <w:r>
        <w:rPr>
          <w:sz w:val="21"/>
        </w:rPr>
        <w:t>5</w:t>
      </w:r>
      <w:r>
        <w:rPr>
          <w:sz w:val="21"/>
        </w:rPr>
        <w:t>．存在行贿、受贿等违法违纪行为的；</w:t>
      </w:r>
    </w:p>
    <w:p>
      <w:pPr>
        <w:jc w:val="both"/>
      </w:pPr>
      <w:r>
        <w:rPr>
          <w:sz w:val="21"/>
        </w:rPr>
        <w:t>6</w:t>
      </w:r>
      <w:r>
        <w:rPr>
          <w:sz w:val="21"/>
        </w:rPr>
        <w:t>．食品安全责任险有效期未覆盖项目合同期，或续保的保额低于投标时所购买保额的。</w:t>
      </w:r>
    </w:p>
    <w:p>
      <w:pPr>
        <w:jc w:val="both"/>
      </w:pPr>
      <w:r>
        <w:rPr>
          <w:sz w:val="21"/>
        </w:rPr>
        <w:t>（二）乙方必须依据国家有关法律法规，建立健全各项管理制度，保证食品安全，有明确的食品安全责任人。因所供货物原因导致狱内发生食品安全事故或监管安全事故的，除扣除全部履约保证金并解除合同外，乙方还需赔偿甲方由此产生的一切经济损失（包括但不限于医疗救治、护理、康复等费用）。</w:t>
      </w:r>
    </w:p>
    <w:p>
      <w:pPr>
        <w:jc w:val="both"/>
      </w:pPr>
      <w:r>
        <w:rPr>
          <w:sz w:val="21"/>
        </w:rPr>
        <w:t>（三）乙方应严格按招标要求及合同约定（品种、质量等）供应，不得随意变更甲方采购计划。对甲方验收认为不符合规格要求或质量标准的货物，乙方应无条件予以退货或更换，并承担由此造成的全部经济损失。</w:t>
      </w:r>
    </w:p>
    <w:p>
      <w:pPr>
        <w:jc w:val="both"/>
      </w:pPr>
      <w:r>
        <w:rPr>
          <w:sz w:val="21"/>
        </w:rPr>
        <w:t>（四）因生产商原因停产、改变生产规格的，乙方凭生产商出具的证明告知甲方，甲方经市场调查选择替换的品种、规格，报省局生活卫生处备案后与乙方协商予以更换。</w:t>
      </w:r>
    </w:p>
    <w:p>
      <w:pPr>
        <w:jc w:val="both"/>
      </w:pPr>
      <w:r>
        <w:rPr>
          <w:sz w:val="21"/>
        </w:rPr>
        <w:t>（五）乙方须按所供应商品的实际销售额开具国家正式发票。</w:t>
      </w:r>
    </w:p>
    <w:p>
      <w:pPr>
        <w:jc w:val="both"/>
      </w:pPr>
      <w:r>
        <w:rPr>
          <w:sz w:val="21"/>
        </w:rPr>
        <w:t>（六）食品溯源要求：乙方需建立完整的食品溯源管理机制，确保所有食品及原材料的生产、加工、运输、贮存等各环节链条清晰、源头可控，并主动接受属地市场监督管理部门的监管。</w:t>
      </w:r>
    </w:p>
    <w:p>
      <w:pPr>
        <w:jc w:val="both"/>
      </w:pPr>
      <w:r>
        <w:rPr>
          <w:sz w:val="21"/>
        </w:rPr>
        <w:t>（七）乙方应保存以下资料备查：</w:t>
      </w:r>
      <w:r>
        <w:rPr>
          <w:sz w:val="21"/>
        </w:rPr>
        <w:t>1</w:t>
      </w:r>
      <w:r>
        <w:rPr>
          <w:sz w:val="21"/>
        </w:rPr>
        <w:t>．与食品生产企业的销售</w:t>
      </w:r>
      <w:r>
        <w:rPr>
          <w:sz w:val="21"/>
        </w:rPr>
        <w:t>/</w:t>
      </w:r>
      <w:r>
        <w:rPr>
          <w:sz w:val="21"/>
        </w:rPr>
        <w:t>代理合同；</w:t>
      </w:r>
      <w:r>
        <w:rPr>
          <w:sz w:val="21"/>
        </w:rPr>
        <w:t>2</w:t>
      </w:r>
      <w:r>
        <w:rPr>
          <w:sz w:val="21"/>
        </w:rPr>
        <w:t>．食品生产企业的送货单据和销售发票；</w:t>
      </w:r>
      <w:r>
        <w:rPr>
          <w:sz w:val="21"/>
        </w:rPr>
        <w:t>3</w:t>
      </w:r>
      <w:r>
        <w:rPr>
          <w:sz w:val="21"/>
        </w:rPr>
        <w:t>．与经销商</w:t>
      </w:r>
      <w:r>
        <w:rPr>
          <w:sz w:val="21"/>
        </w:rPr>
        <w:t>/</w:t>
      </w:r>
      <w:r>
        <w:rPr>
          <w:sz w:val="21"/>
        </w:rPr>
        <w:t>代理商的采购合同、送货单据和销售发票。</w:t>
      </w:r>
    </w:p>
    <w:p>
      <w:pPr>
        <w:jc w:val="both"/>
      </w:pPr>
      <w:r>
        <w:rPr>
          <w:sz w:val="21"/>
        </w:rPr>
        <w:t>（八）甲方有按时与乙方结算货款的义务。</w:t>
      </w:r>
    </w:p>
    <w:p>
      <w:pPr>
        <w:jc w:val="both"/>
      </w:pPr>
      <w:r>
        <w:rPr>
          <w:sz w:val="21"/>
        </w:rPr>
        <w:t>（九）甲方应向乙方提供送货的便利，提前做好工作安排。</w:t>
      </w:r>
    </w:p>
    <w:p>
      <w:pPr>
        <w:jc w:val="both"/>
      </w:pPr>
      <w:r>
        <w:rPr>
          <w:sz w:val="21"/>
        </w:rPr>
        <w:t>（十）合同执行过程中，乙方向片区其中一个监狱提出提前终止合同履行的，片区所有监狱同步终止合同。</w:t>
      </w:r>
    </w:p>
    <w:p>
      <w:pPr>
        <w:jc w:val="both"/>
      </w:pPr>
      <w:r>
        <w:rPr>
          <w:sz w:val="21"/>
        </w:rPr>
        <w:t>（十一）片区其中一个监狱提出提前终止合同履行的，片区所有监狱同步向乙方提出，同时终止所签订的合同。</w:t>
      </w:r>
    </w:p>
    <w:p>
      <w:pPr>
        <w:jc w:val="both"/>
      </w:pPr>
      <w:r>
        <w:rPr>
          <w:sz w:val="21"/>
        </w:rPr>
        <w:t>（十二）乙方保证所购买的食品安全保险包含整个合同期限。（现食品安全责任保险服务期：</w:t>
      </w:r>
      <w:r>
        <w:rPr>
          <w:sz w:val="21"/>
        </w:rPr>
        <w:t>**</w:t>
      </w:r>
      <w:r>
        <w:rPr>
          <w:sz w:val="21"/>
        </w:rPr>
        <w:t>年</w:t>
      </w:r>
      <w:r>
        <w:rPr>
          <w:sz w:val="21"/>
        </w:rPr>
        <w:t>**</w:t>
      </w:r>
      <w:r>
        <w:rPr>
          <w:sz w:val="21"/>
        </w:rPr>
        <w:t>月</w:t>
      </w:r>
      <w:r>
        <w:rPr>
          <w:sz w:val="21"/>
        </w:rPr>
        <w:t>**</w:t>
      </w:r>
      <w:r>
        <w:rPr>
          <w:sz w:val="21"/>
        </w:rPr>
        <w:t>日至</w:t>
      </w:r>
      <w:r>
        <w:rPr>
          <w:sz w:val="21"/>
        </w:rPr>
        <w:t>**</w:t>
      </w:r>
      <w:r>
        <w:rPr>
          <w:sz w:val="21"/>
        </w:rPr>
        <w:t>年</w:t>
      </w:r>
      <w:r>
        <w:rPr>
          <w:sz w:val="21"/>
        </w:rPr>
        <w:t>**</w:t>
      </w:r>
      <w:r>
        <w:rPr>
          <w:sz w:val="21"/>
        </w:rPr>
        <w:t>月</w:t>
      </w:r>
      <w:r>
        <w:rPr>
          <w:sz w:val="21"/>
        </w:rPr>
        <w:t>**</w:t>
      </w:r>
      <w:r>
        <w:rPr>
          <w:sz w:val="21"/>
        </w:rPr>
        <w:t>日止，到期后乙方承诺按原保额续保至本合同执行止日）</w:t>
      </w:r>
    </w:p>
    <w:p>
      <w:pPr>
        <w:jc w:val="both"/>
      </w:pPr>
      <w:r>
        <w:rPr>
          <w:b/>
          <w:sz w:val="21"/>
        </w:rPr>
        <w:t>十一、违约责任</w:t>
      </w:r>
    </w:p>
    <w:p>
      <w:pPr>
        <w:jc w:val="both"/>
      </w:pPr>
      <w:r>
        <w:rPr>
          <w:sz w:val="21"/>
        </w:rPr>
        <w:t>（一）乙方擅自将本项目转让或分包给他人的，甲方有权终止合同，并要求乙方对其违约行为给甲方造成的损失进行赔偿。</w:t>
      </w:r>
    </w:p>
    <w:p>
      <w:pPr>
        <w:jc w:val="both"/>
      </w:pPr>
      <w:r>
        <w:rPr>
          <w:sz w:val="21"/>
        </w:rPr>
        <w:t>（二）乙方单次供货质量与合同不符，但退货数量低于该批次货物总量</w:t>
      </w:r>
      <w:r>
        <w:rPr>
          <w:sz w:val="21"/>
        </w:rPr>
        <w:t>50%</w:t>
      </w:r>
      <w:r>
        <w:rPr>
          <w:sz w:val="21"/>
        </w:rPr>
        <w:t>（不含本数）的，乙方应承担包括货物的检测费用在内的一切甲方损失，并承担合同预算总额</w:t>
      </w:r>
      <w:r>
        <w:rPr>
          <w:sz w:val="21"/>
        </w:rPr>
        <w:t>1%</w:t>
      </w:r>
      <w:r>
        <w:rPr>
          <w:sz w:val="21"/>
        </w:rPr>
        <w:t>的违约金。</w:t>
      </w:r>
    </w:p>
    <w:p>
      <w:pPr>
        <w:jc w:val="both"/>
      </w:pPr>
      <w:r>
        <w:rPr>
          <w:sz w:val="21"/>
        </w:rPr>
        <w:t>（三）乙方单次供货质量与合同不符，但退货数量高于该批次货物总量</w:t>
      </w:r>
      <w:r>
        <w:rPr>
          <w:sz w:val="21"/>
        </w:rPr>
        <w:t>50%</w:t>
      </w:r>
      <w:r>
        <w:rPr>
          <w:sz w:val="21"/>
        </w:rPr>
        <w:t>（含本数）的，乙方应承担包括货物的检测费用在内的一切甲方损失，并承担合同预算总额</w:t>
      </w:r>
      <w:r>
        <w:rPr>
          <w:sz w:val="21"/>
        </w:rPr>
        <w:t>2%</w:t>
      </w:r>
      <w:r>
        <w:rPr>
          <w:sz w:val="21"/>
        </w:rPr>
        <w:t>的违约金。</w:t>
      </w:r>
    </w:p>
    <w:p>
      <w:pPr>
        <w:jc w:val="both"/>
      </w:pPr>
      <w:r>
        <w:rPr>
          <w:sz w:val="21"/>
        </w:rPr>
        <w:t>（四）省局在合同期内的随机质量抽查中发现货物质量（含包装）不合格的，乙方应承担合同预算总额</w:t>
      </w:r>
      <w:r>
        <w:rPr>
          <w:sz w:val="21"/>
        </w:rPr>
        <w:t>5%</w:t>
      </w:r>
      <w:r>
        <w:rPr>
          <w:sz w:val="21"/>
        </w:rPr>
        <w:t>的违约金，二次检查时发现不合格时，乙方除承担合同预算总额</w:t>
      </w:r>
      <w:r>
        <w:rPr>
          <w:sz w:val="21"/>
        </w:rPr>
        <w:t>5%</w:t>
      </w:r>
      <w:r>
        <w:rPr>
          <w:sz w:val="21"/>
        </w:rPr>
        <w:t>的违约金以外，甲方有权单方解除合同，乙方需赔偿因此造成甲方的一切损失。</w:t>
      </w:r>
    </w:p>
    <w:p>
      <w:pPr>
        <w:jc w:val="both"/>
      </w:pPr>
      <w:r>
        <w:rPr>
          <w:b/>
          <w:sz w:val="21"/>
        </w:rPr>
        <w:t>十二、外来人员进出监管区须知</w:t>
      </w:r>
    </w:p>
    <w:p>
      <w:pPr>
        <w:jc w:val="both"/>
      </w:pPr>
      <w:r>
        <w:rPr>
          <w:sz w:val="21"/>
        </w:rPr>
        <w:t>由于监狱工作的特殊性，乙方应认真教育本单位工作人员严格遵守监狱的相关管理规定。</w:t>
      </w:r>
    </w:p>
    <w:p>
      <w:pPr>
        <w:jc w:val="both"/>
      </w:pPr>
      <w:r>
        <w:rPr>
          <w:sz w:val="21"/>
        </w:rPr>
        <w:t>（一）外来人员必须遵守法律法规，不得假借监狱名义从事有损监狱形象的行为。</w:t>
      </w:r>
    </w:p>
    <w:p>
      <w:pPr>
        <w:jc w:val="both"/>
      </w:pPr>
      <w:r>
        <w:rPr>
          <w:sz w:val="21"/>
        </w:rPr>
        <w:t>（二）外来人员进入监管区应提高警惕，注意人身安全保护，加强自我防范意识；自觉与罪犯划清界线，防止被罪犯利用。</w:t>
      </w:r>
    </w:p>
    <w:p>
      <w:pPr>
        <w:jc w:val="both"/>
      </w:pPr>
      <w:r>
        <w:rPr>
          <w:sz w:val="21"/>
        </w:rPr>
        <w:t>（三）外来人员进入监管区必须衣着整齐，举止文明；女士不得衣着暴露。</w:t>
      </w:r>
    </w:p>
    <w:p>
      <w:pPr>
        <w:jc w:val="both"/>
      </w:pPr>
      <w:r>
        <w:rPr>
          <w:sz w:val="21"/>
        </w:rPr>
        <w:t>（四）凡需进入监管区的外来人员必须</w:t>
      </w:r>
      <w:r>
        <w:rPr>
          <w:sz w:val="21"/>
        </w:rPr>
        <w:t>具委派证明和身份证明原件，向狱方提出申请，经核准后办理相关手续。</w:t>
      </w:r>
    </w:p>
    <w:p>
      <w:pPr>
        <w:jc w:val="both"/>
      </w:pPr>
      <w:r>
        <w:rPr>
          <w:sz w:val="21"/>
        </w:rPr>
        <w:t>（五）外来车辆应凭审批手续并由监狱警察带领或监狱指定人员驾驶，方可进出监管区大门。</w:t>
      </w:r>
    </w:p>
    <w:p>
      <w:pPr>
        <w:jc w:val="both"/>
      </w:pPr>
      <w:r>
        <w:rPr>
          <w:sz w:val="21"/>
        </w:rPr>
        <w:t>（六）所有进出监管区大门的人员、车辆和物品应接受监门警察和监门哨兵的检查，凭通行证件或经监狱审批的手续，人证相符、手续齐全方可进出监管区大门。</w:t>
      </w:r>
    </w:p>
    <w:p>
      <w:pPr>
        <w:jc w:val="both"/>
      </w:pPr>
      <w:r>
        <w:rPr>
          <w:sz w:val="21"/>
        </w:rPr>
        <w:t>（七）外来人员必须遵守监狱进出监管区大门管理相关规定。凭有效身份证件办理《外来人员通行证》或《外来人员临时通行证》，由监狱相关部门警察带入带出，并接受监门武警和值班警察的检查管理。</w:t>
      </w:r>
    </w:p>
    <w:p>
      <w:pPr>
        <w:jc w:val="both"/>
      </w:pPr>
      <w:r>
        <w:rPr>
          <w:sz w:val="21"/>
        </w:rPr>
        <w:t>（八）外来人员不得携带违禁品、违规品、危险品等可能影响监管安全的物品进入监管区，进入监管区时必须按规定将移动电话等物品保管在贮物箱。</w:t>
      </w:r>
    </w:p>
    <w:p>
      <w:pPr>
        <w:jc w:val="both"/>
      </w:pPr>
      <w:r>
        <w:rPr>
          <w:sz w:val="21"/>
        </w:rPr>
        <w:t>违禁品是指枪支弹药、通讯设备、现金、刀具、毒品、麻醉及精神药品、军警制服、便服、假发、反动、淫秽宣传制品等物品；</w:t>
      </w:r>
    </w:p>
    <w:p>
      <w:pPr>
        <w:jc w:val="both"/>
      </w:pPr>
      <w:r>
        <w:rPr>
          <w:sz w:val="21"/>
        </w:rPr>
        <w:t>违规品是指含有酒精的饮品、火种及可用作点火的可燃物品、身份类证件、绳索及可用作绳索的生产原材料、半成品、成品、玻璃陶瓷类制品及含有玻璃制品的物品、绝缘物品、燃料炊具和电炊具等物品；</w:t>
      </w:r>
    </w:p>
    <w:p>
      <w:pPr>
        <w:jc w:val="both"/>
      </w:pPr>
      <w:r>
        <w:rPr>
          <w:sz w:val="21"/>
        </w:rPr>
        <w:t>危险品是指钝器、攀高物、易燃易爆、剧毒、放射、腐蚀性等物品。</w:t>
      </w:r>
    </w:p>
    <w:p>
      <w:pPr>
        <w:jc w:val="both"/>
      </w:pPr>
      <w:r>
        <w:rPr>
          <w:sz w:val="21"/>
        </w:rPr>
        <w:t>（九）外来人员进入监管区大门后，必须将《外来人员通行证》或《外来人员临时通行证》挂于胸前，并妥善保管。</w:t>
      </w:r>
    </w:p>
    <w:p>
      <w:pPr>
        <w:jc w:val="both"/>
      </w:pPr>
      <w:r>
        <w:rPr>
          <w:sz w:val="21"/>
        </w:rPr>
        <w:t>（十）外来人员在监管区内必须遵守监狱的下列规定：</w:t>
      </w:r>
    </w:p>
    <w:p>
      <w:pPr>
        <w:jc w:val="both"/>
      </w:pPr>
      <w:r>
        <w:rPr>
          <w:sz w:val="21"/>
        </w:rPr>
        <w:t>1</w:t>
      </w:r>
      <w:r>
        <w:rPr>
          <w:sz w:val="21"/>
        </w:rPr>
        <w:t>、不得擅自与服刑人员接触，与服刑人员认老乡、攀亲结友；</w:t>
      </w:r>
    </w:p>
    <w:p>
      <w:pPr>
        <w:jc w:val="both"/>
      </w:pPr>
      <w:r>
        <w:rPr>
          <w:sz w:val="21"/>
        </w:rPr>
        <w:t>2</w:t>
      </w:r>
      <w:r>
        <w:rPr>
          <w:sz w:val="21"/>
        </w:rPr>
        <w:t>、不得为服刑人员传带、保管任何物品；</w:t>
      </w:r>
    </w:p>
    <w:p>
      <w:pPr>
        <w:jc w:val="both"/>
      </w:pPr>
      <w:r>
        <w:rPr>
          <w:sz w:val="21"/>
        </w:rPr>
        <w:t>3</w:t>
      </w:r>
      <w:r>
        <w:rPr>
          <w:sz w:val="21"/>
        </w:rPr>
        <w:t>、不得为服刑人员邮寄信件、捎口信或替服刑人员打电话；</w:t>
      </w:r>
    </w:p>
    <w:p>
      <w:pPr>
        <w:jc w:val="both"/>
      </w:pPr>
      <w:r>
        <w:rPr>
          <w:sz w:val="21"/>
        </w:rPr>
        <w:t>4</w:t>
      </w:r>
      <w:r>
        <w:rPr>
          <w:sz w:val="21"/>
        </w:rPr>
        <w:t>、不得在监管区拍照、摄像或录音；</w:t>
      </w:r>
    </w:p>
    <w:p>
      <w:pPr>
        <w:jc w:val="both"/>
      </w:pPr>
      <w:r>
        <w:rPr>
          <w:sz w:val="21"/>
        </w:rPr>
        <w:t>5</w:t>
      </w:r>
      <w:r>
        <w:rPr>
          <w:sz w:val="21"/>
        </w:rPr>
        <w:t>、不得在监管区内随意走动，非经许可不得进入监舍区；</w:t>
      </w:r>
    </w:p>
    <w:p>
      <w:pPr>
        <w:jc w:val="both"/>
      </w:pPr>
      <w:r>
        <w:rPr>
          <w:sz w:val="21"/>
        </w:rPr>
        <w:t>6</w:t>
      </w:r>
      <w:r>
        <w:rPr>
          <w:sz w:val="21"/>
        </w:rPr>
        <w:t>、不得与服刑人员交谈业务以外的内容；</w:t>
      </w:r>
    </w:p>
    <w:p>
      <w:pPr>
        <w:jc w:val="both"/>
      </w:pPr>
      <w:r>
        <w:rPr>
          <w:sz w:val="21"/>
        </w:rPr>
        <w:t>7</w:t>
      </w:r>
      <w:r>
        <w:rPr>
          <w:sz w:val="21"/>
        </w:rPr>
        <w:t>、不得散布不利于服刑人员改造的言论；</w:t>
      </w:r>
    </w:p>
    <w:p>
      <w:pPr>
        <w:jc w:val="both"/>
      </w:pPr>
      <w:r>
        <w:rPr>
          <w:sz w:val="21"/>
        </w:rPr>
        <w:t>8</w:t>
      </w:r>
      <w:r>
        <w:rPr>
          <w:sz w:val="21"/>
        </w:rPr>
        <w:t>、不得干涉、干扰监狱对服刑人员的执法活动；</w:t>
      </w:r>
    </w:p>
    <w:p>
      <w:pPr>
        <w:jc w:val="both"/>
      </w:pPr>
      <w:r>
        <w:rPr>
          <w:sz w:val="21"/>
        </w:rPr>
        <w:t>9</w:t>
      </w:r>
      <w:r>
        <w:rPr>
          <w:sz w:val="21"/>
        </w:rPr>
        <w:t>、不得破坏监狱设施；</w:t>
      </w:r>
    </w:p>
    <w:p>
      <w:pPr>
        <w:jc w:val="both"/>
      </w:pPr>
      <w:r>
        <w:rPr>
          <w:sz w:val="21"/>
        </w:rPr>
        <w:t>10</w:t>
      </w:r>
      <w:r>
        <w:rPr>
          <w:sz w:val="21"/>
        </w:rPr>
        <w:t>、患有传染性疾病的外来人员严禁进入监管区；</w:t>
      </w:r>
    </w:p>
    <w:p>
      <w:pPr>
        <w:jc w:val="both"/>
      </w:pPr>
      <w:r>
        <w:rPr>
          <w:sz w:val="21"/>
        </w:rPr>
        <w:t>11</w:t>
      </w:r>
      <w:r>
        <w:rPr>
          <w:sz w:val="21"/>
        </w:rPr>
        <w:t>、不得向无关人员谈及监狱工作秘密，或从事其它有碍监管安全的行为。</w:t>
      </w:r>
    </w:p>
    <w:p>
      <w:pPr>
        <w:jc w:val="both"/>
      </w:pPr>
      <w:r>
        <w:rPr>
          <w:sz w:val="21"/>
        </w:rPr>
        <w:t>（十一）外来车辆应按指定位置停放并熄火，拔下钥匙，锁紧车门窗。所有车辆在当天</w:t>
      </w:r>
      <w:r>
        <w:rPr>
          <w:sz w:val="21"/>
        </w:rPr>
        <w:t>18</w:t>
      </w:r>
      <w:r>
        <w:rPr>
          <w:sz w:val="21"/>
        </w:rPr>
        <w:t>时前应驶离监管区。</w:t>
      </w:r>
    </w:p>
    <w:p>
      <w:pPr>
        <w:jc w:val="both"/>
      </w:pPr>
      <w:r>
        <w:rPr>
          <w:sz w:val="21"/>
        </w:rPr>
        <w:t>（十二）外来人员若违反本管理规定，监狱将责成乙方将其解聘、辞退或调离，严禁其再次进入监管区，有违法行为的送司法机关处理。</w:t>
      </w:r>
    </w:p>
    <w:p>
      <w:pPr>
        <w:jc w:val="both"/>
      </w:pPr>
      <w:r>
        <w:rPr>
          <w:sz w:val="21"/>
        </w:rPr>
        <w:t>（十三）外来人员需遵守监狱防疫相关规定，自费核酸检测，按要求穿戴防护用品。</w:t>
      </w:r>
    </w:p>
    <w:p>
      <w:pPr>
        <w:jc w:val="both"/>
      </w:pPr>
      <w:r>
        <w:rPr>
          <w:b/>
          <w:sz w:val="21"/>
        </w:rPr>
        <w:t>十三、争议的解决</w:t>
      </w:r>
    </w:p>
    <w:p>
      <w:pPr>
        <w:jc w:val="both"/>
      </w:pPr>
      <w:r>
        <w:rPr>
          <w:sz w:val="21"/>
        </w:rPr>
        <w:t>合同执行过程中发生的任何争议，如双方不能协商解决，提交甲方所在地的人民法院审理。</w:t>
      </w:r>
    </w:p>
    <w:p>
      <w:pPr>
        <w:jc w:val="both"/>
      </w:pPr>
      <w:r>
        <w:rPr>
          <w:b/>
          <w:sz w:val="21"/>
        </w:rPr>
        <w:t>十四、合同生效</w:t>
      </w:r>
    </w:p>
    <w:p>
      <w:pPr>
        <w:jc w:val="both"/>
      </w:pPr>
      <w:r>
        <w:rPr>
          <w:sz w:val="21"/>
        </w:rPr>
        <w:t>合同经双方授权代表签字并盖章之日起生效。</w:t>
      </w:r>
    </w:p>
    <w:p>
      <w:pPr>
        <w:jc w:val="both"/>
      </w:pPr>
      <w:r>
        <w:rPr>
          <w:b/>
          <w:sz w:val="21"/>
        </w:rPr>
        <w:t>十五、其它</w:t>
      </w:r>
    </w:p>
    <w:p>
      <w:pPr>
        <w:jc w:val="both"/>
      </w:pPr>
      <w:r>
        <w:rPr>
          <w:sz w:val="21"/>
        </w:rPr>
        <w:t>中标通知书、投标文件、招标文件及本合同之所有附件均为本合同的有效组成部分，与本合同具有同样法律效力，解释的顺序以文件生成时间在后的为准。</w:t>
      </w:r>
    </w:p>
    <w:p>
      <w:pPr>
        <w:jc w:val="both"/>
      </w:pPr>
      <w:r>
        <w:rPr>
          <w:sz w:val="21"/>
        </w:rPr>
        <w:t>本合同正本陆份，具有同等法律效力，乙方贰份、广东省监狱管理局壹份，甲方叁份。</w:t>
      </w:r>
    </w:p>
    <w:p>
      <w:pPr>
        <w:jc w:val="both"/>
      </w:pPr>
      <w:r>
        <w:rPr>
          <w:sz w:val="21"/>
        </w:rPr>
        <w:t>在执行本合同的过程中，所有经买卖双方签署确认的文件（包括会议纪要、补充协议、合同修改书、往来信函等）均为本合同的有效组成部分。</w:t>
      </w:r>
    </w:p>
    <w:p>
      <w:pPr>
        <w:jc w:val="both"/>
      </w:pPr>
    </w:p>
    <w:p>
      <w:pPr>
        <w:jc w:val="both"/>
      </w:pPr>
    </w:p>
    <w:p>
      <w:pPr>
        <w:jc w:val="both"/>
      </w:pPr>
      <w:r>
        <w:rPr>
          <w:sz w:val="21"/>
        </w:rPr>
        <w:t>甲方：</w:t>
      </w:r>
      <w:r>
        <w:rPr>
          <w:sz w:val="21"/>
        </w:rPr>
        <w:t xml:space="preserve">                             </w:t>
      </w:r>
      <w:r>
        <w:rPr>
          <w:sz w:val="21"/>
        </w:rPr>
        <w:t>乙方：</w:t>
      </w:r>
    </w:p>
    <w:p>
      <w:pPr>
        <w:jc w:val="both"/>
      </w:pPr>
      <w:r>
        <w:rPr>
          <w:sz w:val="21"/>
        </w:rPr>
        <w:t>签约代表</w:t>
      </w:r>
      <w:r>
        <w:rPr>
          <w:sz w:val="21"/>
        </w:rPr>
        <w:t>：</w:t>
      </w:r>
      <w:r>
        <w:rPr>
          <w:sz w:val="21"/>
        </w:rPr>
        <w:t xml:space="preserve">                                                              </w:t>
      </w:r>
      <w:r>
        <w:rPr>
          <w:sz w:val="21"/>
        </w:rPr>
        <w:t>签约代表：</w:t>
      </w:r>
    </w:p>
    <w:p>
      <w:pPr>
        <w:jc w:val="both"/>
      </w:pPr>
      <w:r>
        <w:rPr>
          <w:sz w:val="21"/>
        </w:rPr>
        <w:t>地址：</w:t>
      </w:r>
      <w:r>
        <w:rPr>
          <w:sz w:val="21"/>
        </w:rPr>
        <w:t xml:space="preserve">                             </w:t>
      </w:r>
      <w:r>
        <w:rPr>
          <w:sz w:val="21"/>
        </w:rPr>
        <w:t>地址：</w:t>
      </w:r>
    </w:p>
    <w:p>
      <w:pPr>
        <w:jc w:val="both"/>
      </w:pPr>
      <w:r>
        <w:rPr>
          <w:sz w:val="21"/>
        </w:rPr>
        <w:t>电话：</w:t>
      </w:r>
      <w:r>
        <w:rPr>
          <w:sz w:val="21"/>
        </w:rPr>
        <w:t xml:space="preserve">                                                             </w:t>
      </w:r>
      <w:r>
        <w:rPr>
          <w:sz w:val="21"/>
        </w:rPr>
        <w:t>电话：</w:t>
      </w:r>
    </w:p>
    <w:p>
      <w:pPr>
        <w:jc w:val="both"/>
      </w:pPr>
      <w:r>
        <w:rPr>
          <w:sz w:val="21"/>
        </w:rPr>
        <w:t>传真</w:t>
      </w:r>
      <w:r>
        <w:rPr>
          <w:sz w:val="21"/>
        </w:rPr>
        <w:t xml:space="preserve">:                                               </w:t>
      </w:r>
      <w:r>
        <w:rPr>
          <w:sz w:val="21"/>
        </w:rPr>
        <w:t>传真</w:t>
      </w:r>
      <w:r>
        <w:rPr>
          <w:sz w:val="21"/>
        </w:rPr>
        <w:t>:</w:t>
      </w:r>
    </w:p>
    <w:p>
      <w:pPr>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w:t>
      </w:r>
    </w:p>
    <w:p>
      <w:pPr>
        <w:jc w:val="both"/>
      </w:pPr>
      <w:r>
        <w:rPr>
          <w:sz w:val="21"/>
        </w:rPr>
        <w:t>开户银行：</w:t>
      </w:r>
      <w:r>
        <w:rPr>
          <w:sz w:val="21"/>
        </w:rPr>
        <w:t xml:space="preserve">                         </w:t>
      </w:r>
      <w:r>
        <w:rPr>
          <w:sz w:val="21"/>
        </w:rPr>
        <w:t>开户银行：</w:t>
      </w:r>
      <w:r>
        <w:rPr>
          <w:sz w:val="21"/>
        </w:rPr>
        <w:t xml:space="preserve">                                </w:t>
      </w:r>
    </w:p>
    <w:p>
      <w:pPr>
        <w:jc w:val="both"/>
      </w:pPr>
      <w:r>
        <w:rPr>
          <w:sz w:val="21"/>
        </w:rPr>
        <w:t>帐号：</w:t>
      </w:r>
      <w:r>
        <w:rPr>
          <w:sz w:val="21"/>
        </w:rPr>
        <w:t xml:space="preserve">                                                    </w:t>
      </w:r>
      <w:r>
        <w:rPr>
          <w:sz w:val="21"/>
        </w:rPr>
        <w:t>帐号：</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440001-2023-49347</w:t>
      </w:r>
    </w:p>
    <w:p>
      <w:pPr>
        <w:jc w:val="center"/>
      </w:pPr>
      <w:r>
        <w:rPr>
          <w:b/>
          <w:sz w:val="24"/>
        </w:rPr>
        <w:t>采购项目编号：</w:t>
      </w:r>
      <w:r>
        <w:rPr>
          <w:b/>
          <w:sz w:val="24"/>
        </w:rPr>
        <w:t>GPCGD232201HG156F</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广东省政府采购中心</w:t>
      </w:r>
    </w:p>
    <w:p>
      <w:pPr>
        <w:ind w:firstLine="480"/>
      </w:pPr>
      <w:r>
        <w:rPr/>
        <w:t>你方组织的</w:t>
      </w:r>
      <w:r>
        <w:rPr>
          <w:u w:val="single"/>
        </w:rPr>
        <w:t>“</w:t>
      </w:r>
      <w:r>
        <w:rPr>
          <w:u w:val="single"/>
        </w:rPr>
        <w:t>广州片区省属监狱2023-2024年度罪犯大宗生活物资（大米及食用油）采购项目</w:t>
      </w:r>
      <w:r>
        <w:rPr>
          <w:u w:val="single"/>
        </w:rPr>
        <w:t>”</w:t>
      </w:r>
      <w:r>
        <w:rPr/>
        <w:t>项目的招标[采购项目编号为：</w:t>
      </w:r>
      <w:r>
        <w:rPr>
          <w:u w:val="single"/>
        </w:rPr>
        <w:t>GPCGD232201HG156F</w:t>
      </w:r>
      <w:r>
        <w:rPr/>
        <w:t>]，我方愿参与投标。</w:t>
      </w:r>
    </w:p>
    <w:p>
      <w:pPr>
        <w:ind w:firstLine="480"/>
      </w:pPr>
      <w:r>
        <w:rPr/>
        <w:t>我方确认收到贵方提供的</w:t>
      </w:r>
      <w:r>
        <w:rPr>
          <w:u w:val="single"/>
        </w:rPr>
        <w:t>“</w:t>
      </w:r>
      <w:r>
        <w:rPr>
          <w:u w:val="single"/>
        </w:rPr>
        <w:t>广州片区省属监狱2023-2024年度罪犯大宗生活物资（大米及食用油）采购项目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广州片区省属监狱2023-2024年度罪犯大宗生活物资（大米及食用油）采购项目</w:t>
      </w:r>
      <w:r>
        <w:rPr/>
        <w:t>”项目采购[采购项目编号为</w:t>
      </w:r>
      <w:r>
        <w:rPr/>
        <w:t>GPCGD232201HG156F</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广东省未成年犯管教所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广东省政府采购中心</w:t>
      </w:r>
    </w:p>
    <w:p>
      <w:pPr>
        <w:ind w:firstLine="480"/>
      </w:pPr>
      <w:r>
        <w:rPr/>
        <w:t>如果我方在贵采购代理机构组织的</w:t>
      </w:r>
      <w:r>
        <w:rPr/>
        <w:t>广州片区省属监狱2023-2024年度罪犯大宗生活物资（大米及食用油）采购项目</w:t>
      </w:r>
      <w:r>
        <w:rPr/>
        <w:t>招标中获中标（采购项目编号：</w:t>
      </w:r>
      <w:r>
        <w:rPr/>
        <w:t>GPCGD232201HG156F</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广东省政府采购中心</w:t>
      </w:r>
    </w:p>
    <w:p>
      <w:pPr>
        <w:ind w:firstLine="480"/>
      </w:pPr>
      <w:r>
        <w:rPr/>
        <w:t>我单位已登记并准备参与“</w:t>
      </w:r>
      <w:r>
        <w:rPr/>
        <w:t>广州片区省属监狱2023-2024年度罪犯大宗生活物资（大米及食用油）采购项目</w:t>
      </w:r>
      <w:r>
        <w:rPr/>
        <w:t>”项目（采购项目编号：</w:t>
      </w:r>
      <w:r>
        <w:rPr/>
        <w:t>GPCGD232201HG156F</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